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before="1156" w:lineRule="auto"/>
        <w:ind w:left="2880" w:right="3119"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PROGRAMA DE </w:t>
      </w: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b w:val="1"/>
          <w:color w:val="000000"/>
          <w:sz w:val="24"/>
          <w:szCs w:val="24"/>
          <w:rtl w:val="0"/>
        </w:rPr>
        <w:t xml:space="preserve">URSO </w:t>
      </w:r>
      <w:r w:rsidDel="00000000" w:rsidR="00000000" w:rsidRPr="00000000">
        <w:drawing>
          <wp:anchor allowOverlap="1" behindDoc="0" distB="0" distT="0" distL="0" distR="0" hidden="0" layoutInCell="1" locked="0" relativeHeight="0" simplePos="0">
            <wp:simplePos x="0" y="0"/>
            <wp:positionH relativeFrom="column">
              <wp:posOffset>-172718</wp:posOffset>
            </wp:positionH>
            <wp:positionV relativeFrom="paragraph">
              <wp:posOffset>734568</wp:posOffset>
            </wp:positionV>
            <wp:extent cx="6116320" cy="897255"/>
            <wp:effectExtent b="0" l="0" r="0" t="0"/>
            <wp:wrapTopAndBottom distB="0" dist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116320" cy="897255"/>
                    </a:xfrm>
                    <a:prstGeom prst="rect"/>
                    <a:ln/>
                  </pic:spPr>
                </pic:pic>
              </a:graphicData>
            </a:graphic>
          </wp:anchor>
        </w:drawing>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225" w:lineRule="auto"/>
        <w:ind w:left="3600" w:right="2505"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sz w:val="30"/>
          <w:szCs w:val="30"/>
          <w:rtl w:val="0"/>
        </w:rPr>
        <w:t xml:space="preserve">“Computación”</w:t>
      </w: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225" w:lineRule="auto"/>
        <w:ind w:left="4368" w:right="4310"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2024</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691" w:lineRule="auto"/>
        <w:ind w:left="-28" w:right="3676"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 UBICACIÓN CURRICULAR Y PREVIATURAS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asignatura corresponde al primer semestre del segundo año de la carrera. </w:t>
      </w:r>
      <w:r w:rsidDel="00000000" w:rsidR="00000000" w:rsidRPr="00000000">
        <w:rPr>
          <w:rFonts w:ascii="Times New Roman" w:cs="Times New Roman" w:eastAsia="Times New Roman" w:hAnsi="Times New Roman"/>
          <w:sz w:val="24"/>
          <w:szCs w:val="24"/>
          <w:rtl w:val="0"/>
        </w:rPr>
        <w:t xml:space="preserve">Es necesario tener ciclo ES.FU.NO. aprobado. </w:t>
      </w: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691" w:lineRule="auto"/>
        <w:ind w:left="-28" w:right="58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 EQUIPO DOCENTE A CARGO Y ÁREAS ACADÉMICAS INVOLUCRADAS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225" w:lineRule="auto"/>
        <w:ind w:left="-28" w:right="4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Docente a cargo: Lic. Andrés Rey. Pertenece al Área de Formación Profesional Específica.</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691" w:lineRule="auto"/>
        <w:ind w:left="-28" w:right="86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 FUNDAMENTACIÓN Y OBJETIVOS GENERALES: </w:t>
      </w:r>
      <w:r w:rsidDel="00000000" w:rsidR="00000000" w:rsidRPr="00000000">
        <w:rPr>
          <w:rFonts w:ascii="Times New Roman" w:cs="Times New Roman" w:eastAsia="Times New Roman" w:hAnsi="Times New Roman"/>
          <w:color w:val="000000"/>
          <w:sz w:val="24"/>
          <w:szCs w:val="24"/>
          <w:rtl w:val="0"/>
        </w:rPr>
        <w:t xml:space="preserve">(máximo 400 palabras)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Existe un gran abanico de tecnologías tanto en uso como emergentes que tienen aplicación potencial y directa en rehabilitación así como en el ejercicio de la Terapia Ocupacional. Es fundamental que los licenciados en Terapia Ocupacional </w:t>
      </w:r>
      <w:r w:rsidDel="00000000" w:rsidR="00000000" w:rsidRPr="00000000">
        <w:rPr>
          <w:rFonts w:ascii="Times New Roman" w:cs="Times New Roman" w:eastAsia="Times New Roman" w:hAnsi="Times New Roman"/>
          <w:sz w:val="24"/>
          <w:szCs w:val="24"/>
          <w:rtl w:val="0"/>
        </w:rPr>
        <w:t xml:space="preserve">cuenten con una formación que contemple esta área de conocimientos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Cabe mencionar también, que esta asignatura es habitual en los programas académicos de Terapia Ocupacional en otros países.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 por tanto el objetivo del curso acercar al estudiante al conocimiento y experiencia en el manejo de un conjunto de tecnologías existentes y emergentes con aplicación tanto para la formación profesional propia como para investigación, evaluación y uso terapéutico en los programas de rehabilitación.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691" w:lineRule="auto"/>
        <w:ind w:left="-28" w:right="243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 METODOLOGÍAS DE ENSEÑANZA </w:t>
      </w:r>
      <w:r w:rsidDel="00000000" w:rsidR="00000000" w:rsidRPr="00000000">
        <w:rPr>
          <w:rFonts w:ascii="Times New Roman" w:cs="Times New Roman" w:eastAsia="Times New Roman" w:hAnsi="Times New Roman"/>
          <w:color w:val="000000"/>
          <w:sz w:val="24"/>
          <w:szCs w:val="24"/>
          <w:rtl w:val="0"/>
        </w:rPr>
        <w:t xml:space="preserve">(máximo 1000 palabras)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225" w:lineRule="auto"/>
        <w:ind w:left="-28" w:right="-10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Asignatura teórico-práctica con alternancia de teóricos magistrales con presentación de temas y trabajos por equipos a lo largo del curso. Se prevé la posibilidad de visitas a centros y servicios donde se utilicen tecnologías aplicadas a la rehabilitación y discapacidad por ejemplo, Servicio de Terapia Ocupacional y Unidad de Investigación en Biomecánica de la Rehabilitación Humana del Hospital de Clínicas Dr. Manuel Quintela, Proyecto SUMA en el PTI de APEX, Cerro, Gimnasio de Neurorrehabilitación del 2do piso del Hospital de Clínicas. Se promoverán actividades de extensión en donde los estudiantes abordarán casos clínicos para lo cual deberán implementar una solución tecnológica acorde a las herramientas brindadas durante el curso. Se contempla la posibilidad de invitar a colegas y especialistas en temáticas de interés relacionadas con los contenidos del curso. Se contempla en la metodología el uso de plataformas virtuales como por ejemplo Zoom.</w:t>
      </w: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686" w:lineRule="auto"/>
        <w:ind w:left="-28" w:right="5663"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 CONTENIDOS TEMÁTICOS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225" w:lineRule="auto"/>
        <w:ind w:left="-28" w:right="-1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Indicar brevemente los principales módulos, temas o unidades didácticas que se abordarán en el curso.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225" w:lineRule="auto"/>
        <w:ind w:left="-28" w:right="-10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w:t>
      </w:r>
      <w:r w:rsidDel="00000000" w:rsidR="00000000" w:rsidRPr="00000000">
        <w:rPr>
          <w:rFonts w:ascii="Times New Roman" w:cs="Times New Roman" w:eastAsia="Times New Roman" w:hAnsi="Times New Roman"/>
          <w:color w:val="000000"/>
          <w:sz w:val="24"/>
          <w:szCs w:val="24"/>
          <w:rtl w:val="0"/>
        </w:rPr>
        <w:tab/>
      </w:r>
      <w:r w:rsidDel="00000000" w:rsidR="00000000" w:rsidRPr="00000000">
        <w:rPr>
          <w:rFonts w:ascii="Times New Roman" w:cs="Times New Roman" w:eastAsia="Times New Roman" w:hAnsi="Times New Roman"/>
          <w:b w:val="1"/>
          <w:color w:val="000000"/>
          <w:sz w:val="24"/>
          <w:szCs w:val="24"/>
          <w:rtl w:val="0"/>
        </w:rPr>
        <w:t xml:space="preserve">Concepto de Accesibilidad.</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225" w:lineRule="auto"/>
        <w:ind w:left="-28" w:right="-100" w:firstLine="74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Tipos de accesibilidad, diseño universal y legislación actual. </w:t>
        <w:tab/>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225" w:lineRule="auto"/>
        <w:ind w:left="-28" w:right="-100" w:firstLine="74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 Accesibilidad en los sistemas operativos informáticos para computadoras, tablets y teléfonos celulares. </w:t>
        <w:tab/>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225" w:lineRule="auto"/>
        <w:ind w:left="-28" w:right="-1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tab/>
        <w:t xml:space="preserve">c) Como trabajo grupal los estudiantes deben seleccionar un sistema operativo y presentar en clase las opciones de accesibilidad que el mismo ofrece. </w:t>
        <w:tab/>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225" w:lineRule="auto"/>
        <w:ind w:left="-28" w:right="-10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225" w:lineRule="auto"/>
        <w:ind w:left="-28" w:right="-1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II.</w:t>
      </w:r>
      <w:r w:rsidDel="00000000" w:rsidR="00000000" w:rsidRPr="00000000">
        <w:rPr>
          <w:rFonts w:ascii="Times New Roman" w:cs="Times New Roman" w:eastAsia="Times New Roman" w:hAnsi="Times New Roman"/>
          <w:color w:val="000000"/>
          <w:sz w:val="24"/>
          <w:szCs w:val="24"/>
          <w:rtl w:val="0"/>
        </w:rPr>
        <w:tab/>
      </w:r>
      <w:r w:rsidDel="00000000" w:rsidR="00000000" w:rsidRPr="00000000">
        <w:rPr>
          <w:rFonts w:ascii="Times New Roman" w:cs="Times New Roman" w:eastAsia="Times New Roman" w:hAnsi="Times New Roman"/>
          <w:b w:val="1"/>
          <w:color w:val="000000"/>
          <w:sz w:val="24"/>
          <w:szCs w:val="24"/>
          <w:rtl w:val="0"/>
        </w:rPr>
        <w:t xml:space="preserve">Software de accesibilidad y rampas digitales. </w:t>
        <w:tab/>
      </w: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225" w:lineRule="auto"/>
        <w:ind w:left="-28" w:right="-1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tab/>
        <w:t xml:space="preserve">a) Conocimiento y uso práctico de software de accesibilidad (ej. Cameramouse, Joy2mouse, teclados en pantalla, etc.)</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225" w:lineRule="auto"/>
        <w:ind w:left="-28" w:right="-1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tab/>
        <w:t xml:space="preserve">b) Presentación teórica de hardware accesible (Tobii, Irisbond, etc). </w:t>
        <w:tab/>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225" w:lineRule="auto"/>
        <w:ind w:left="-28" w:right="-1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tab/>
        <w:t xml:space="preserve">c) Como trabajo grupal los estudiantes deben seleccionar software de accesibilidad y/o rampas digitales para presentar y demostrar en clase. </w:t>
        <w:tab/>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225" w:lineRule="auto"/>
        <w:ind w:left="-28" w:right="-10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225" w:lineRule="auto"/>
        <w:ind w:left="-28" w:right="-10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225" w:lineRule="auto"/>
        <w:ind w:left="-28" w:right="-1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III.</w:t>
      </w:r>
      <w:r w:rsidDel="00000000" w:rsidR="00000000" w:rsidRPr="00000000">
        <w:rPr>
          <w:rFonts w:ascii="Times New Roman" w:cs="Times New Roman" w:eastAsia="Times New Roman" w:hAnsi="Times New Roman"/>
          <w:color w:val="000000"/>
          <w:sz w:val="24"/>
          <w:szCs w:val="24"/>
          <w:rtl w:val="0"/>
        </w:rPr>
        <w:tab/>
      </w:r>
      <w:r w:rsidDel="00000000" w:rsidR="00000000" w:rsidRPr="00000000">
        <w:rPr>
          <w:rFonts w:ascii="Times New Roman" w:cs="Times New Roman" w:eastAsia="Times New Roman" w:hAnsi="Times New Roman"/>
          <w:b w:val="1"/>
          <w:color w:val="000000"/>
          <w:sz w:val="24"/>
          <w:szCs w:val="24"/>
          <w:rtl w:val="0"/>
        </w:rPr>
        <w:t xml:space="preserve">Tecnologías de vanguardia aplicadas a la rehabilitación.</w:t>
      </w:r>
      <w:r w:rsidDel="00000000" w:rsidR="00000000" w:rsidRPr="00000000">
        <w:rPr>
          <w:rFonts w:ascii="Times New Roman" w:cs="Times New Roman" w:eastAsia="Times New Roman" w:hAnsi="Times New Roman"/>
          <w:color w:val="000000"/>
          <w:sz w:val="24"/>
          <w:szCs w:val="24"/>
          <w:rtl w:val="0"/>
        </w:rPr>
        <w:t xml:space="preserve"> </w:t>
        <w:tab/>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225" w:lineRule="auto"/>
        <w:ind w:left="-28" w:right="-1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tab/>
        <w:t xml:space="preserve">a) Concepto y ejemplos de aplicación de la robótica en rehabilitación y discapacidad. Ortesis mioeléctricas, exoesqueletos, ayudas técnicas de avanzada y sistemas de rehabilitación robotizados. </w:t>
        <w:tab/>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225" w:lineRule="auto"/>
        <w:ind w:left="-28" w:right="-1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tab/>
        <w:t xml:space="preserve">b) Concepto y uso de la domótica como solución en accesibilidad. </w:t>
        <w:tab/>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225" w:lineRule="auto"/>
        <w:ind w:left="-28" w:right="-1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tab/>
        <w:t xml:space="preserve">c) Conceptos sobre las tecnologías de fabricación digital (impresión 3D, corte laser, etc).</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225" w:lineRule="auto"/>
        <w:ind w:left="-28" w:right="-1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 xml:space="preserve">d) Instancia teórico práctica sobre uso de impresión 3D para elaboración de ortesis y productos de apoyo.</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225" w:lineRule="auto"/>
        <w:ind w:left="-28" w:right="-1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tab/>
        <w:t xml:space="preserve">e) Realidad virtual, realidad aumentada y videojuegos aplicados a la rehabilitación (Kinect, nintendo wii, Oculus Quest, etc). </w:t>
        <w:tab/>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225" w:lineRule="auto"/>
        <w:ind w:left="-28" w:right="-10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225" w:lineRule="auto"/>
        <w:ind w:left="-28" w:right="-1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IV.</w:t>
      </w:r>
      <w:r w:rsidDel="00000000" w:rsidR="00000000" w:rsidRPr="00000000">
        <w:rPr>
          <w:rFonts w:ascii="Times New Roman" w:cs="Times New Roman" w:eastAsia="Times New Roman" w:hAnsi="Times New Roman"/>
          <w:color w:val="000000"/>
          <w:sz w:val="24"/>
          <w:szCs w:val="24"/>
          <w:rtl w:val="0"/>
        </w:rPr>
        <w:tab/>
      </w:r>
      <w:r w:rsidDel="00000000" w:rsidR="00000000" w:rsidRPr="00000000">
        <w:rPr>
          <w:rFonts w:ascii="Times New Roman" w:cs="Times New Roman" w:eastAsia="Times New Roman" w:hAnsi="Times New Roman"/>
          <w:b w:val="1"/>
          <w:color w:val="000000"/>
          <w:sz w:val="24"/>
          <w:szCs w:val="24"/>
          <w:rtl w:val="0"/>
        </w:rPr>
        <w:t xml:space="preserve">Tecnologías aplicadas a la biomecánica y análisis de movimiento humano. </w:t>
        <w:tab/>
      </w: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225" w:lineRule="auto"/>
        <w:ind w:left="-28" w:right="-1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tab/>
        <w:t xml:space="preserve">a) Conocimiento, manejo y experiencia práctica con programas de análisis de </w:t>
        <w:tab/>
        <w:t xml:space="preserve">movimiento (ej. Kinovea).</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225" w:lineRule="auto"/>
        <w:ind w:left="-28" w:right="-1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tab/>
        <w:t xml:space="preserve">b) Taller práctico en laboratorio de análisis 3D de movimiento (sistema Vicon).</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before="225" w:lineRule="auto"/>
        <w:ind w:left="-28" w:right="-1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tab/>
        <w:t xml:space="preserve">c) Como trabajo grupal los estudiantes deben seleccionar una actividad, gesto o tarea para filmar y analizar con el software Kinovea o habiendo disponibilidad con el sistema Vicon. Deberán hacer una presentación en clase del análisis realizado.</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225" w:lineRule="auto"/>
        <w:ind w:left="-28" w:right="-1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 xml:space="preserve">d) Uso de dinamometría para evaluación e investigación (dinamómetros de prensión, pinzómetros, dispositivo </w:t>
      </w:r>
      <w:r w:rsidDel="00000000" w:rsidR="00000000" w:rsidRPr="00000000">
        <w:rPr>
          <w:rFonts w:ascii="Times New Roman" w:cs="Times New Roman" w:eastAsia="Times New Roman" w:hAnsi="Times New Roman"/>
          <w:i w:val="1"/>
          <w:color w:val="000000"/>
          <w:sz w:val="24"/>
          <w:szCs w:val="24"/>
          <w:rtl w:val="0"/>
        </w:rPr>
        <w:t xml:space="preserve">Dinabang</w:t>
      </w:r>
      <w:r w:rsidDel="00000000" w:rsidR="00000000" w:rsidRPr="00000000">
        <w:rPr>
          <w:rFonts w:ascii="Times New Roman" w:cs="Times New Roman" w:eastAsia="Times New Roman" w:hAnsi="Times New Roman"/>
          <w:color w:val="202124"/>
          <w:sz w:val="18"/>
          <w:szCs w:val="18"/>
          <w:highlight w:val="white"/>
          <w:rtl w:val="0"/>
        </w:rPr>
        <w:t xml:space="preserve">®)</w:t>
      </w:r>
      <w:r w:rsidDel="00000000" w:rsidR="00000000" w:rsidRPr="00000000">
        <w:rPr>
          <w:rFonts w:ascii="Times New Roman" w:cs="Times New Roman" w:eastAsia="Times New Roman" w:hAnsi="Times New Roman"/>
          <w:color w:val="202124"/>
          <w:sz w:val="24"/>
          <w:szCs w:val="24"/>
          <w:highlight w:val="white"/>
          <w:rtl w:val="0"/>
        </w:rPr>
        <w:t xml:space="preserve">.</w:t>
      </w:r>
      <w:r w:rsidDel="00000000" w:rsidR="00000000" w:rsidRPr="00000000">
        <w:rPr>
          <w:rFonts w:ascii="Times New Roman" w:cs="Times New Roman" w:eastAsia="Times New Roman" w:hAnsi="Times New Roman"/>
          <w:color w:val="000000"/>
          <w:sz w:val="24"/>
          <w:szCs w:val="24"/>
          <w:rtl w:val="0"/>
        </w:rPr>
        <w:t xml:space="preserve"> </w:t>
        <w:tab/>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225" w:lineRule="auto"/>
        <w:ind w:left="-28" w:right="-10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225" w:lineRule="auto"/>
        <w:ind w:left="-28" w:right="-10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w:t>
        <w:tab/>
        <w:t xml:space="preserve">Switches interactivos como solución de accesibilidad. </w:t>
        <w:tab/>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225" w:lineRule="auto"/>
        <w:ind w:left="-28" w:right="-1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tab/>
        <w:t xml:space="preserve">a) Conceptos teóricos de corrientes, circuitos y tipos de switches. Como ejemplo para entender los tipos de corriente se aprovecha esta instancia para introducir la electroestimulación</w:t>
        <w:tab/>
        <w:t xml:space="preserve">como herramienta terapéutica. </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225" w:lineRule="auto"/>
        <w:ind w:left="-28" w:righ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225" w:lineRule="auto"/>
        <w:ind w:left="-28" w:righ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225" w:lineRule="auto"/>
        <w:ind w:left="-28" w:right="-1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tab/>
        <w:t xml:space="preserve">b) Como trabajo grupal los estudiantes deben seleccionar un juguete, mouse, dispositivo, etc., para adaptarlo y hacerlo más accesible por medio de uno o varios “switches”, pudiendo combinar el uso del mismo con rampas digitales. Deberán entregar un informe que brinde una explicación del proceso de confección del “switch” así como ejemplificar qué pacientes podrían beneficiarse de la adaptación. </w:t>
        <w:tab/>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before="691" w:lineRule="auto"/>
        <w:ind w:left="-28" w:right="6705"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6- CARGA HORARIA </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585" w:lineRule="auto"/>
        <w:ind w:left="-28" w:right="-11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Indicar el número total de horas de actividades presenciales y no presenciales para las que se prevé una dedicación horaria por parte del estudiante (por ejemplo actividades en EVA, elaboración de trabajos o tareas, etc)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225" w:lineRule="auto"/>
        <w:ind w:left="-28" w:right="-10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Discriminar entre número de horas presenciales teóricas (considerando teóricas horas de clase presencial, de discusión grupal, taller, resolución de ejercicios, entre otras) y prácticas (incluyendo actividades en las diferentes rotaciones clínicas, de actividades comunitarias, asistenciales, entre otras). Del mismo modo indicar el número de horas no presenciales teóricas y prácticas. Se sugiere completar una tabla como la que sigue: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297" w:lineRule="auto"/>
        <w:ind w:right="1219"/>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Horas teóricas: 35     Horas prácticas: 28</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Horas presenciales 33</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before="364"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Teóricas 20</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364"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Prácticas 13</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364"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Horas no presenciales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before="364"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Teóricas (estudio) 15</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before="364"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Prácticas (trabajos grupales) 15</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befor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Total de horas: 63</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before="1228" w:lineRule="auto"/>
        <w:ind w:left="-28" w:right="839"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before="1228" w:lineRule="auto"/>
        <w:ind w:left="-28" w:right="839"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7- FORMAS DE EVALUACIÓN, GANANCIA Y APROBACIÓN DEL CURSO </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before="225" w:lineRule="auto"/>
        <w:ind w:left="-28" w:right="-10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Asistencia obligatoria (régimen de un mínimo del 80% de las asistencias). Examen </w:t>
      </w:r>
      <w:r w:rsidDel="00000000" w:rsidR="00000000" w:rsidRPr="00000000">
        <w:rPr>
          <w:rFonts w:ascii="Times New Roman" w:cs="Times New Roman" w:eastAsia="Times New Roman" w:hAnsi="Times New Roman"/>
          <w:sz w:val="24"/>
          <w:szCs w:val="24"/>
          <w:rtl w:val="0"/>
        </w:rPr>
        <w:t xml:space="preserve">exonerable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El examen se exonera con una nota de curso de 8 (MB.MB.B.) la cual será producto de las asistencias, participaciones en clase y de trabajos grupales entregados durante el curso los cuales están previstos y serán al menos 3. Podrá existir una instancia de parcial en caso de ser necesario. Asimismo, e</w:t>
      </w:r>
      <w:r w:rsidDel="00000000" w:rsidR="00000000" w:rsidRPr="00000000">
        <w:rPr>
          <w:rFonts w:ascii="Times New Roman" w:cs="Times New Roman" w:eastAsia="Times New Roman" w:hAnsi="Times New Roman"/>
          <w:color w:val="000000"/>
          <w:sz w:val="24"/>
          <w:szCs w:val="24"/>
          <w:rtl w:val="0"/>
        </w:rPr>
        <w:t xml:space="preserve">xiste la posibilidad de un parcial de recuperación de modalidad a definir por el docente (escrito, oral, o trabajo a presentar) en caso de estudiantes que no hayan podido participar de un trabajo. Este parcial de recuperación es solamente aplicable como sustituto de 1 trabajo grupal. Derecho a examen: </w:t>
      </w:r>
      <w:r w:rsidDel="00000000" w:rsidR="00000000" w:rsidRPr="00000000">
        <w:rPr>
          <w:rFonts w:ascii="Times New Roman" w:cs="Times New Roman" w:eastAsia="Times New Roman" w:hAnsi="Times New Roman"/>
          <w:sz w:val="24"/>
          <w:szCs w:val="24"/>
          <w:rtl w:val="0"/>
        </w:rPr>
        <w:t xml:space="preserve">además de la asistencia mínima cumplida, l</w:t>
      </w:r>
      <w:r w:rsidDel="00000000" w:rsidR="00000000" w:rsidRPr="00000000">
        <w:rPr>
          <w:rFonts w:ascii="Times New Roman" w:cs="Times New Roman" w:eastAsia="Times New Roman" w:hAnsi="Times New Roman"/>
          <w:color w:val="000000"/>
          <w:sz w:val="24"/>
          <w:szCs w:val="24"/>
          <w:rtl w:val="0"/>
        </w:rPr>
        <w:t xml:space="preserve">a nota mínima de cada trabajo grupal (y eventualmente del parcial de recuperación) será la correspondiente al 40% para tener derecho a examen en caso de no exonerar.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before="225" w:lineRule="auto"/>
        <w:ind w:left="-28" w:right="-10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Aprobación de examen: El examen se aprobará con </w:t>
      </w:r>
      <w:r w:rsidDel="00000000" w:rsidR="00000000" w:rsidRPr="00000000">
        <w:rPr>
          <w:rFonts w:ascii="Times New Roman" w:cs="Times New Roman" w:eastAsia="Times New Roman" w:hAnsi="Times New Roman"/>
          <w:sz w:val="24"/>
          <w:szCs w:val="24"/>
          <w:rtl w:val="0"/>
        </w:rPr>
        <w:t xml:space="preserve">la</w:t>
      </w:r>
      <w:r w:rsidDel="00000000" w:rsidR="00000000" w:rsidRPr="00000000">
        <w:rPr>
          <w:rFonts w:ascii="Times New Roman" w:cs="Times New Roman" w:eastAsia="Times New Roman" w:hAnsi="Times New Roman"/>
          <w:color w:val="000000"/>
          <w:sz w:val="24"/>
          <w:szCs w:val="24"/>
          <w:rtl w:val="0"/>
        </w:rPr>
        <w:t xml:space="preserve"> nota 3 (R.R.R.) equivalente al 60% del puntaje máximo de la prueba.</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before="691" w:lineRule="auto"/>
        <w:ind w:left="-28" w:right="5404"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8- ORGANIZACIÓN DEL CURSO </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before="225"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Fecha de inicio: jueves 14 de marzo. Fecha de finalización: jueves 20 de junio. Fecha de examen: 27 de junio.</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before="48"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El curso se dicta los días jueves de 16 a 18 horas, salón de Terapia Ocupacional ubicado en Basamento del Hospital de Clínicas. </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before="48" w:lineRule="auto"/>
        <w:ind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Durante el curso mismo se establecen las fechas de entrega de los trabajos por equipos en común acuerdo con cada equipo. </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before="686" w:lineRule="auto"/>
        <w:ind w:left="-28" w:right="-10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9- BIBLIOGRAFÍA RECOMENDADA </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Instituto Uruguayo de Normas Técnicas. (2021).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Accesibilidad de las personas al medio físico - Criterios y requisitos generales de diseño para un entorno edificado accesible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200:2019. </w:t>
      </w:r>
    </w:p>
    <w:bookmarkStart w:colFirst="0" w:colLast="0" w:name="bookmark=id.gjdgxs" w:id="0"/>
    <w:bookmarkEnd w:id="0"/>
    <w:p w:rsidR="00000000" w:rsidDel="00000000" w:rsidP="00000000" w:rsidRDefault="00000000" w:rsidRPr="00000000" w14:paraId="00000043">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Knudson, D. (2020). </w:t>
      </w:r>
      <w:r w:rsidDel="00000000" w:rsidR="00000000" w:rsidRPr="00000000">
        <w:rPr>
          <w:rFonts w:ascii="Times New Roman" w:cs="Times New Roman" w:eastAsia="Times New Roman" w:hAnsi="Times New Roman"/>
          <w:i w:val="1"/>
          <w:color w:val="000000"/>
          <w:sz w:val="24"/>
          <w:szCs w:val="24"/>
          <w:rtl w:val="0"/>
        </w:rPr>
        <w:t xml:space="preserve">Fundamentals of Biomechanics</w:t>
      </w:r>
      <w:r w:rsidDel="00000000" w:rsidR="00000000" w:rsidRPr="00000000">
        <w:rPr>
          <w:rFonts w:ascii="Times New Roman" w:cs="Times New Roman" w:eastAsia="Times New Roman" w:hAnsi="Times New Roman"/>
          <w:color w:val="000000"/>
          <w:sz w:val="24"/>
          <w:szCs w:val="24"/>
          <w:rtl w:val="0"/>
        </w:rPr>
        <w:t xml:space="preserve">. Springer.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Ramírez, J., &amp; Inestrosa, P. De. (2015). Tutorial de Kinovea.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Ministerio de Educación de Buenos Aires - Plan Integral de Educación Digital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33. http://www.kinovea.org/en/?page_id=3%0D</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Loeza, P. (2015). Introducción a la rehabilitación robótica para el tratamiento de la enfermedad vascular cerebral.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Revista Mexicana de Medicina Física y Rehabilitación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44–48. www.medigraphic.org.mxhttp://www.medigraphic.com/medicinafisica</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Levin Pt, M. F., Weiss Ot, P. L., &amp; Keshner Pt, E. A. (2015). Emergence of virtual reality as a tool for upper limb rehabilitation: Incorporation of motor control and motor learning Principles.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Physical Therapy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95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415–425. https://doi.org/10.2522/ptj.20130579</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Sánchez-Villavicencio, I., Hernández-Franco, J., Sucar, E., &amp; Leder, R. S. (2009). Actividades simuladas de la vida diaria para rehabilitación motora del miembro superior en pacientes con enfermedad vascular cerebral.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Archivos de Neurociencias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237–242.</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Recursos online adicionales: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80"/>
          <w:sz w:val="24"/>
          <w:szCs w:val="24"/>
          <w:u w:val="single"/>
          <w:shd w:fill="auto" w:val="clear"/>
          <w:vertAlign w:val="baseline"/>
          <w:rtl w:val="0"/>
        </w:rPr>
        <w:t xml:space="preserve">https://docplayer.es/839174-Colecciones-de-portal-timbo.html</w:t>
      </w:r>
      <w:r w:rsidDel="00000000" w:rsidR="00000000" w:rsidRPr="00000000">
        <w:rPr>
          <w:rtl w:val="0"/>
        </w:rPr>
      </w:r>
    </w:p>
    <w:p w:rsidR="00000000" w:rsidDel="00000000" w:rsidP="00000000" w:rsidRDefault="00000000" w:rsidRPr="00000000" w14:paraId="0000004E">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80"/>
          <w:sz w:val="24"/>
          <w:szCs w:val="24"/>
          <w:u w:val="single"/>
          <w:rtl w:val="0"/>
        </w:rPr>
        <w:t xml:space="preserve">https://www.bluestacks.com/es/index.html</w:t>
      </w:r>
      <w:r w:rsidDel="00000000" w:rsidR="00000000" w:rsidRPr="00000000">
        <w:rPr>
          <w:rtl w:val="0"/>
        </w:rPr>
      </w:r>
    </w:p>
    <w:p w:rsidR="00000000" w:rsidDel="00000000" w:rsidP="00000000" w:rsidRDefault="00000000" w:rsidRPr="00000000" w14:paraId="0000004F">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80"/>
          <w:sz w:val="24"/>
          <w:szCs w:val="24"/>
          <w:u w:val="single"/>
          <w:rtl w:val="0"/>
        </w:rPr>
        <w:t xml:space="preserve">http://www.niee.ufrgs.br/eventos/CIIEE/2007/index3.php</w:t>
      </w:r>
      <w:r w:rsidDel="00000000" w:rsidR="00000000" w:rsidRPr="00000000">
        <w:rPr>
          <w:rtl w:val="0"/>
        </w:rPr>
      </w:r>
    </w:p>
    <w:p w:rsidR="00000000" w:rsidDel="00000000" w:rsidP="00000000" w:rsidRDefault="00000000" w:rsidRPr="00000000" w14:paraId="00000050">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80"/>
          <w:sz w:val="24"/>
          <w:szCs w:val="24"/>
          <w:u w:val="single"/>
          <w:rtl w:val="0"/>
        </w:rPr>
        <w:t xml:space="preserve">https://www.essentialaccessibility.com/download-app/</w:t>
      </w:r>
      <w:r w:rsidDel="00000000" w:rsidR="00000000" w:rsidRPr="00000000">
        <w:rPr>
          <w:rtl w:val="0"/>
        </w:rPr>
      </w:r>
    </w:p>
    <w:p w:rsidR="00000000" w:rsidDel="00000000" w:rsidP="00000000" w:rsidRDefault="00000000" w:rsidRPr="00000000" w14:paraId="00000051">
      <w:pPr>
        <w:spacing w:before="240" w:lineRule="auto"/>
        <w:jc w:val="both"/>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000080"/>
            <w:sz w:val="24"/>
            <w:szCs w:val="24"/>
            <w:u w:val="single"/>
            <w:rtl w:val="0"/>
          </w:rPr>
          <w:t xml:space="preserve">https://wikinclusion.org/index.php/Categoría:Software_rampas_digitales#:~:text</w:t>
        </w:r>
      </w:hyperlink>
      <w:r w:rsidDel="00000000" w:rsidR="00000000" w:rsidRPr="00000000">
        <w:rPr>
          <w:rFonts w:ascii="Times New Roman" w:cs="Times New Roman" w:eastAsia="Times New Roman" w:hAnsi="Times New Roman"/>
          <w:sz w:val="24"/>
          <w:szCs w:val="24"/>
          <w:rtl w:val="0"/>
        </w:rPr>
        <w:t xml:space="preserve">=¿Qué%20son%20las%20Rampas%20digitales,antes%20que%20el%20programa%20principal</w:t>
      </w:r>
    </w:p>
    <w:p w:rsidR="00000000" w:rsidDel="00000000" w:rsidP="00000000" w:rsidRDefault="00000000" w:rsidRPr="00000000" w14:paraId="00000052">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80"/>
          <w:sz w:val="24"/>
          <w:szCs w:val="24"/>
          <w:u w:val="single"/>
          <w:rtl w:val="0"/>
        </w:rPr>
        <w:t xml:space="preserve">https://www.kinovea.org/</w:t>
      </w:r>
      <w:r w:rsidDel="00000000" w:rsidR="00000000" w:rsidRPr="00000000">
        <w:rPr>
          <w:rtl w:val="0"/>
        </w:rPr>
      </w:r>
    </w:p>
    <w:p w:rsidR="00000000" w:rsidDel="00000000" w:rsidP="00000000" w:rsidRDefault="00000000" w:rsidRPr="00000000" w14:paraId="00000053">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80"/>
          <w:sz w:val="24"/>
          <w:szCs w:val="24"/>
          <w:u w:val="single"/>
          <w:rtl w:val="0"/>
        </w:rPr>
        <w:t xml:space="preserve">https://foco.timbo.org.uy/home</w:t>
      </w: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before="686" w:lineRule="auto"/>
        <w:ind w:left="-28" w:right="-105" w:firstLine="0"/>
        <w:rPr>
          <w:rFonts w:ascii="Times New Roman" w:cs="Times New Roman" w:eastAsia="Times New Roman" w:hAnsi="Times New Roman"/>
          <w:color w:val="000000"/>
          <w:sz w:val="24"/>
          <w:szCs w:val="24"/>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Prrafodelista">
    <w:name w:val="List Paragraph"/>
    <w:basedOn w:val="Normal"/>
    <w:uiPriority w:val="34"/>
    <w:qFormat w:val="1"/>
    <w:rsid w:val="00A73B3B"/>
    <w:pPr>
      <w:ind w:left="720"/>
      <w:contextualSpacing w:val="1"/>
    </w:pPr>
  </w:style>
  <w:style w:type="paragraph" w:styleId="LO-normal" w:customStyle="1">
    <w:name w:val="LO-normal"/>
    <w:qFormat w:val="1"/>
    <w:rsid w:val="00A73B3B"/>
    <w:pPr>
      <w:suppressAutoHyphens w:val="1"/>
      <w:spacing w:line="240" w:lineRule="auto"/>
    </w:pPr>
    <w:rPr>
      <w:rFonts w:ascii="Liberation Serif" w:cs="Liberation Serif" w:eastAsia="Liberation Serif" w:hAnsi="Liberation Serif"/>
      <w:sz w:val="24"/>
      <w:szCs w:val="24"/>
      <w:lang w:bidi="hi-IN" w:eastAsia="zh-CN" w:val="es-UY"/>
    </w:rPr>
  </w:style>
  <w:style w:type="character" w:styleId="EnlacedeInternet" w:customStyle="1">
    <w:name w:val="Enlace de Internet"/>
    <w:rsid w:val="00D77113"/>
    <w:rPr>
      <w:color w:val="000080"/>
      <w:u w:val="single"/>
      <w:lang/>
    </w:rPr>
  </w:style>
  <w:style w:type="paragraph" w:styleId="Textoindependiente">
    <w:name w:val="Body Text"/>
    <w:basedOn w:val="Normal"/>
    <w:link w:val="TextoindependienteCar"/>
    <w:rsid w:val="00D77113"/>
    <w:pPr>
      <w:suppressAutoHyphens w:val="1"/>
      <w:spacing w:after="140"/>
    </w:pPr>
    <w:rPr>
      <w:rFonts w:ascii="Liberation Serif" w:cs="Liberation Serif" w:eastAsia="Liberation Serif" w:hAnsi="Liberation Serif"/>
      <w:sz w:val="24"/>
      <w:szCs w:val="24"/>
      <w:lang w:bidi="hi-IN" w:eastAsia="zh-CN" w:val="es-UY"/>
    </w:rPr>
  </w:style>
  <w:style w:type="character" w:styleId="TextoindependienteCar" w:customStyle="1">
    <w:name w:val="Texto independiente Car"/>
    <w:basedOn w:val="Fuentedeprrafopredeter"/>
    <w:link w:val="Textoindependiente"/>
    <w:rsid w:val="00D77113"/>
    <w:rPr>
      <w:rFonts w:ascii="Liberation Serif" w:cs="Liberation Serif" w:eastAsia="Liberation Serif" w:hAnsi="Liberation Serif"/>
      <w:sz w:val="24"/>
      <w:szCs w:val="24"/>
      <w:lang w:bidi="hi-IN" w:eastAsia="zh-CN" w:val="es-UY"/>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ikinclusion.org/index.php/Categor%C3%ADa:Software_rampas_digitales#:~: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G7CbcJA5xkevlX6OllvhT7WkUw==">CgMxLjAyCWlkLmdqZGd4czgAciExSjRXamNlM0hMak1UUGVwY2hwM243Rm84MUUtRl9xMmU=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2024-03-07T21:51:00Z</dcterms:created>
  <dc:creator>Usuario</dc:creator>
</cp:coreProperties>
</file>