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FC" w:rsidRDefault="00063AFC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63AFC" w:rsidRDefault="00063AFC" w:rsidP="0006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32CA6" w:rsidRPr="00E540F4" w:rsidRDefault="009520CF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PRACTICO DE INSTRUMENTACIÓN II</w:t>
      </w:r>
    </w:p>
    <w:p w:rsidR="00832CA6" w:rsidRDefault="00832CA6" w:rsidP="00832CA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Objetivo del curso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El estudiante deberá aplicar los conocimientos teóricos y prácticos ad</w:t>
      </w:r>
      <w:r w:rsidR="009520CF">
        <w:rPr>
          <w:rFonts w:cstheme="minorHAnsi"/>
          <w:sz w:val="24"/>
          <w:szCs w:val="24"/>
        </w:rPr>
        <w:t>quiridos</w:t>
      </w:r>
      <w:r w:rsidRPr="00E540F4">
        <w:rPr>
          <w:rFonts w:cstheme="minorHAnsi"/>
          <w:sz w:val="24"/>
          <w:szCs w:val="24"/>
        </w:rPr>
        <w:t>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M</w:t>
      </w:r>
      <w:r w:rsidR="00E540F4" w:rsidRPr="00E540F4">
        <w:rPr>
          <w:rFonts w:cstheme="minorHAnsi"/>
          <w:b/>
          <w:bCs/>
          <w:i/>
          <w:sz w:val="24"/>
          <w:szCs w:val="24"/>
          <w:u w:val="single"/>
        </w:rPr>
        <w:t>etodología</w:t>
      </w:r>
      <w:r w:rsidR="00E540F4">
        <w:rPr>
          <w:rFonts w:cstheme="minorHAnsi"/>
          <w:b/>
          <w:bCs/>
          <w:i/>
          <w:sz w:val="24"/>
          <w:szCs w:val="24"/>
          <w:u w:val="single"/>
        </w:rPr>
        <w:t>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Unidad curricular semestral donde el estudiante aplicará todas las técnicas de cirugía general para las cuales fue y será capacitado en los cursos teóricos y prácticos.</w:t>
      </w:r>
    </w:p>
    <w:p w:rsidR="009520CF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Clases prácticas de </w:t>
      </w:r>
      <w:r w:rsidR="009520CF">
        <w:rPr>
          <w:rFonts w:cstheme="minorHAnsi"/>
          <w:sz w:val="24"/>
          <w:szCs w:val="24"/>
        </w:rPr>
        <w:t>cuatro</w:t>
      </w:r>
      <w:r w:rsidRPr="00E540F4">
        <w:rPr>
          <w:rFonts w:cstheme="minorHAnsi"/>
          <w:sz w:val="24"/>
          <w:szCs w:val="24"/>
        </w:rPr>
        <w:t xml:space="preserve"> horas diarias de lu</w:t>
      </w:r>
      <w:r w:rsidR="00E540F4">
        <w:rPr>
          <w:rFonts w:cstheme="minorHAnsi"/>
          <w:sz w:val="24"/>
          <w:szCs w:val="24"/>
        </w:rPr>
        <w:t xml:space="preserve">nes a viernes en los Hospitales </w:t>
      </w:r>
      <w:r w:rsidRPr="00E540F4">
        <w:rPr>
          <w:rFonts w:cstheme="minorHAnsi"/>
          <w:sz w:val="24"/>
          <w:szCs w:val="24"/>
        </w:rPr>
        <w:t>seleccionados</w:t>
      </w:r>
      <w:r w:rsidR="009520CF">
        <w:rPr>
          <w:rFonts w:cstheme="minorHAnsi"/>
          <w:sz w:val="24"/>
          <w:szCs w:val="24"/>
        </w:rPr>
        <w:t>, (dependiendo de la cantidad de alumnos el poder concurrir todos los días de la semana)</w:t>
      </w:r>
      <w:r w:rsidRPr="00E540F4">
        <w:rPr>
          <w:rFonts w:cstheme="minorHAnsi"/>
          <w:sz w:val="24"/>
          <w:szCs w:val="24"/>
        </w:rPr>
        <w:t>.</w:t>
      </w:r>
      <w:r w:rsidR="00620B12">
        <w:rPr>
          <w:rFonts w:cstheme="minorHAnsi"/>
          <w:sz w:val="24"/>
          <w:szCs w:val="24"/>
        </w:rPr>
        <w:t xml:space="preserve"> Comenzando con clases de simulación para reforzar los conocimientos adquiridos en el curso anterior para luego comenzar a participar en procedimientos quirúrgicos reales.</w:t>
      </w:r>
    </w:p>
    <w:p w:rsidR="009520CF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Actividad teórica: se </w:t>
      </w:r>
      <w:r w:rsidR="002257F8">
        <w:rPr>
          <w:rFonts w:cstheme="minorHAnsi"/>
          <w:sz w:val="24"/>
          <w:szCs w:val="24"/>
        </w:rPr>
        <w:t>realizará a través de</w:t>
      </w:r>
      <w:r w:rsidR="009520CF">
        <w:rPr>
          <w:rFonts w:cstheme="minorHAnsi"/>
          <w:sz w:val="24"/>
          <w:szCs w:val="24"/>
        </w:rPr>
        <w:t xml:space="preserve"> la plataforma virtual EVA</w:t>
      </w:r>
      <w:r w:rsidRPr="00E540F4">
        <w:rPr>
          <w:rFonts w:cstheme="minorHAnsi"/>
          <w:sz w:val="24"/>
          <w:szCs w:val="24"/>
        </w:rPr>
        <w:t>.</w:t>
      </w:r>
    </w:p>
    <w:p w:rsidR="00A053C1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Evaluación continua, asistenc</w:t>
      </w:r>
      <w:r w:rsidR="002257F8">
        <w:rPr>
          <w:rFonts w:cstheme="minorHAnsi"/>
          <w:sz w:val="24"/>
          <w:szCs w:val="24"/>
        </w:rPr>
        <w:t>ia a clases prácticas y entrega de informes de la actividad práctica</w:t>
      </w:r>
      <w:r w:rsidRPr="00E540F4">
        <w:rPr>
          <w:rFonts w:cstheme="minorHAnsi"/>
          <w:sz w:val="24"/>
          <w:szCs w:val="24"/>
        </w:rPr>
        <w:t>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Asistencia: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Obligatori</w:t>
      </w:r>
      <w:r w:rsidR="00963FBD">
        <w:rPr>
          <w:rFonts w:cstheme="minorHAnsi"/>
          <w:sz w:val="24"/>
          <w:szCs w:val="24"/>
        </w:rPr>
        <w:t>a a clases prácticas.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Ganancia del curso: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En el práctico el estudiante deberá presentar un informe escrito de cada cirugía que participe con el nivel de complejidad que amerita ésta etapa.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Los cursos se ganan con: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 aprobación de los parciales teóricos de más de 60% o más entre ambas pruebas. </w:t>
      </w:r>
      <w:r w:rsidR="00E540F4" w:rsidRPr="00E540F4">
        <w:rPr>
          <w:rFonts w:cstheme="minorHAnsi"/>
          <w:sz w:val="24"/>
          <w:szCs w:val="24"/>
        </w:rPr>
        <w:t>C</w:t>
      </w:r>
      <w:r w:rsidRPr="00E540F4">
        <w:rPr>
          <w:rFonts w:cstheme="minorHAnsi"/>
          <w:sz w:val="24"/>
          <w:szCs w:val="24"/>
        </w:rPr>
        <w:t>abe aclarar que ninguna de las pruebas parciales podrá</w:t>
      </w:r>
      <w:r w:rsidR="00E540F4" w:rsidRPr="00E540F4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>aprobarse con menos del 50% del puntaje establecido.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la evaluación continua, teniendo en cuenta los informes y la asistencia (asistencia mínima del 80% de las clases) 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Aprobación de la unidad curricular: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Con el curso aprobado el estudiante gana el derecho de rendi</w:t>
      </w:r>
      <w:r w:rsidR="00E540F4" w:rsidRPr="00E540F4">
        <w:rPr>
          <w:rFonts w:cstheme="minorHAnsi"/>
          <w:sz w:val="24"/>
          <w:szCs w:val="24"/>
        </w:rPr>
        <w:t xml:space="preserve">r el examen final el cual es un </w:t>
      </w:r>
      <w:r w:rsidRPr="00E540F4">
        <w:rPr>
          <w:rFonts w:cstheme="minorHAnsi"/>
          <w:sz w:val="24"/>
          <w:szCs w:val="24"/>
        </w:rPr>
        <w:t>examen de evaluación teórico práctico de los temas dictados.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Dicha instancia consta de dos etapas, una evaluación oral</w:t>
      </w:r>
      <w:r w:rsidR="002257F8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>meramente teórica y una instancia práctica en una cirugía especí</w:t>
      </w:r>
      <w:r w:rsidR="00E540F4" w:rsidRPr="00E540F4">
        <w:rPr>
          <w:rFonts w:cstheme="minorHAnsi"/>
          <w:sz w:val="24"/>
          <w:szCs w:val="24"/>
        </w:rPr>
        <w:t xml:space="preserve">fica a la cual el estudiante </w:t>
      </w:r>
      <w:r w:rsidRPr="00E540F4">
        <w:rPr>
          <w:rFonts w:cstheme="minorHAnsi"/>
          <w:sz w:val="24"/>
          <w:szCs w:val="24"/>
        </w:rPr>
        <w:t>será asignado; el tiempo de evaluación impl</w:t>
      </w:r>
      <w:r w:rsidR="00E540F4" w:rsidRPr="00E540F4">
        <w:rPr>
          <w:rFonts w:cstheme="minorHAnsi"/>
          <w:sz w:val="24"/>
          <w:szCs w:val="24"/>
        </w:rPr>
        <w:t xml:space="preserve">ica la tarea del instrumentista desde el </w:t>
      </w:r>
      <w:r w:rsidRPr="00E540F4">
        <w:rPr>
          <w:rFonts w:cstheme="minorHAnsi"/>
          <w:sz w:val="24"/>
          <w:szCs w:val="24"/>
        </w:rPr>
        <w:t>preoperatorio, e intraopera</w:t>
      </w:r>
      <w:r w:rsidR="009520CF">
        <w:rPr>
          <w:rFonts w:cstheme="minorHAnsi"/>
          <w:sz w:val="24"/>
          <w:szCs w:val="24"/>
        </w:rPr>
        <w:t>torio</w:t>
      </w:r>
      <w:r w:rsidRPr="00E540F4">
        <w:rPr>
          <w:rFonts w:cstheme="minorHAnsi"/>
          <w:sz w:val="24"/>
          <w:szCs w:val="24"/>
        </w:rPr>
        <w:t>.-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540F4">
        <w:rPr>
          <w:rFonts w:cstheme="minorHAnsi"/>
          <w:b/>
          <w:bCs/>
          <w:sz w:val="24"/>
          <w:szCs w:val="24"/>
          <w:u w:val="single"/>
        </w:rPr>
        <w:t>PREVIATURAS: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Según reglamento vigente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963FBD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963FBD">
        <w:rPr>
          <w:rFonts w:cstheme="minorHAnsi"/>
          <w:b/>
          <w:bCs/>
          <w:i/>
          <w:sz w:val="24"/>
          <w:szCs w:val="24"/>
          <w:u w:val="single"/>
        </w:rPr>
        <w:t>TEMARIO</w:t>
      </w:r>
    </w:p>
    <w:p w:rsidR="009520CF" w:rsidRDefault="009520CF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>Colecistectomía y  exploración de la vía biliar principal convencional y laparoscópica.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FAV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Colocación de catéteres para hemodiálisis y tratamiento oncológico (doble luz, Canoud y portacath).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Principios de la enodurología: RTU, cistoscopía, uretrotomía.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 Resecciones de intestino delgado.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Colostomías e ileostomías.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Generalidades de cirugía video asistida.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Tiroidectomía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 Peritonitis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HAVA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 xml:space="preserve">Resecciones mamarias- y vaciamiento axilar </w:t>
      </w:r>
    </w:p>
    <w:p w:rsidR="00620B12" w:rsidRDefault="00620B12" w:rsidP="00620B12">
      <w:pPr>
        <w:pStyle w:val="Prrafodelista"/>
        <w:numPr>
          <w:ilvl w:val="0"/>
          <w:numId w:val="14"/>
        </w:numPr>
      </w:pPr>
      <w:r>
        <w:t>Ulcera gastroduodenal perforada, técnica convencional y videoasistida.</w:t>
      </w:r>
    </w:p>
    <w:p w:rsidR="0019282D" w:rsidRDefault="0019282D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sectPr w:rsidR="0019282D" w:rsidSect="00A053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B5" w:rsidRDefault="00C603B5" w:rsidP="00063AFC">
      <w:pPr>
        <w:spacing w:after="0" w:line="240" w:lineRule="auto"/>
      </w:pPr>
      <w:r>
        <w:separator/>
      </w:r>
    </w:p>
  </w:endnote>
  <w:endnote w:type="continuationSeparator" w:id="1">
    <w:p w:rsidR="00C603B5" w:rsidRDefault="00C603B5" w:rsidP="0006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B5" w:rsidRDefault="00C603B5" w:rsidP="00063AFC">
      <w:pPr>
        <w:spacing w:after="0" w:line="240" w:lineRule="auto"/>
      </w:pPr>
      <w:r>
        <w:separator/>
      </w:r>
    </w:p>
  </w:footnote>
  <w:footnote w:type="continuationSeparator" w:id="1">
    <w:p w:rsidR="00C603B5" w:rsidRDefault="00C603B5" w:rsidP="0006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C" w:rsidRDefault="00063AFC">
    <w:pPr>
      <w:pStyle w:val="Encabezado"/>
    </w:pPr>
    <w:r>
      <w:rPr>
        <w:noProof/>
        <w:lang w:eastAsia="es-ES"/>
      </w:rPr>
      <w:drawing>
        <wp:inline distT="0" distB="0" distL="0" distR="0">
          <wp:extent cx="5400040" cy="922143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E5F"/>
    <w:multiLevelType w:val="hybridMultilevel"/>
    <w:tmpl w:val="CD20D1D6"/>
    <w:lvl w:ilvl="0" w:tplc="A058D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45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44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4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1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4C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C4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20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EA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2C1"/>
    <w:multiLevelType w:val="hybridMultilevel"/>
    <w:tmpl w:val="EEF02BF8"/>
    <w:lvl w:ilvl="0" w:tplc="4FFA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4C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E9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8B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F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0C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49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B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A8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5238"/>
    <w:multiLevelType w:val="hybridMultilevel"/>
    <w:tmpl w:val="0F4E78C4"/>
    <w:lvl w:ilvl="0" w:tplc="70060F1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23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4A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40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E8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E8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C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CE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60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73983"/>
    <w:multiLevelType w:val="hybridMultilevel"/>
    <w:tmpl w:val="089469B8"/>
    <w:lvl w:ilvl="0" w:tplc="341C997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AC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E0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E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0D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E4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5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F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CA1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94227"/>
    <w:multiLevelType w:val="hybridMultilevel"/>
    <w:tmpl w:val="3C46DC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B31E9"/>
    <w:multiLevelType w:val="hybridMultilevel"/>
    <w:tmpl w:val="FE18936E"/>
    <w:lvl w:ilvl="0" w:tplc="7DDA965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AF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8C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6E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E9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87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6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4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C6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D632D"/>
    <w:multiLevelType w:val="hybridMultilevel"/>
    <w:tmpl w:val="E1CA8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078A8"/>
    <w:multiLevelType w:val="hybridMultilevel"/>
    <w:tmpl w:val="1A8E1B4A"/>
    <w:lvl w:ilvl="0" w:tplc="2E7CC7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C3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2B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60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27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A9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2D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6A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2C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D613A"/>
    <w:multiLevelType w:val="hybridMultilevel"/>
    <w:tmpl w:val="7A70C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BD2"/>
    <w:multiLevelType w:val="hybridMultilevel"/>
    <w:tmpl w:val="D80E36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76906"/>
    <w:multiLevelType w:val="hybridMultilevel"/>
    <w:tmpl w:val="B096E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D292B"/>
    <w:multiLevelType w:val="hybridMultilevel"/>
    <w:tmpl w:val="037E3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70FC0"/>
    <w:multiLevelType w:val="hybridMultilevel"/>
    <w:tmpl w:val="CC2C6A8A"/>
    <w:lvl w:ilvl="0" w:tplc="CCF684C4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4C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04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25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C0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E9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E5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08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AA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81C50"/>
    <w:multiLevelType w:val="hybridMultilevel"/>
    <w:tmpl w:val="CEF4FF16"/>
    <w:lvl w:ilvl="0" w:tplc="9578BCA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C4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6C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A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86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C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20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2B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A6"/>
    <w:rsid w:val="000145D9"/>
    <w:rsid w:val="00063AFC"/>
    <w:rsid w:val="00074642"/>
    <w:rsid w:val="001035D6"/>
    <w:rsid w:val="0019282D"/>
    <w:rsid w:val="001C1CE1"/>
    <w:rsid w:val="002257F8"/>
    <w:rsid w:val="00365784"/>
    <w:rsid w:val="0036683A"/>
    <w:rsid w:val="005438FE"/>
    <w:rsid w:val="00590B75"/>
    <w:rsid w:val="00620B12"/>
    <w:rsid w:val="00721662"/>
    <w:rsid w:val="00802CB2"/>
    <w:rsid w:val="00832CA6"/>
    <w:rsid w:val="0088431F"/>
    <w:rsid w:val="00922EBF"/>
    <w:rsid w:val="009249AA"/>
    <w:rsid w:val="009520CF"/>
    <w:rsid w:val="00963FBD"/>
    <w:rsid w:val="00A053C1"/>
    <w:rsid w:val="00B00BC5"/>
    <w:rsid w:val="00B543E3"/>
    <w:rsid w:val="00C603B5"/>
    <w:rsid w:val="00E212A9"/>
    <w:rsid w:val="00E5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AFC"/>
  </w:style>
  <w:style w:type="paragraph" w:styleId="Piedepgina">
    <w:name w:val="footer"/>
    <w:basedOn w:val="Normal"/>
    <w:link w:val="Piedepgina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3AFC"/>
  </w:style>
  <w:style w:type="paragraph" w:styleId="Textodeglobo">
    <w:name w:val="Balloon Text"/>
    <w:basedOn w:val="Normal"/>
    <w:link w:val="TextodegloboCar"/>
    <w:uiPriority w:val="99"/>
    <w:semiHidden/>
    <w:unhideWhenUsed/>
    <w:rsid w:val="000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3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1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0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4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4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7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1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6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2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7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4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6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0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Gonzalez Severo</dc:creator>
  <cp:lastModifiedBy>Mirta Gonzalez Severo</cp:lastModifiedBy>
  <cp:revision>2</cp:revision>
  <dcterms:created xsi:type="dcterms:W3CDTF">2024-03-11T01:24:00Z</dcterms:created>
  <dcterms:modified xsi:type="dcterms:W3CDTF">2024-03-11T01:24:00Z</dcterms:modified>
</cp:coreProperties>
</file>