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31C8" w14:textId="77777777" w:rsidR="008B284B" w:rsidRDefault="008B284B" w:rsidP="003A0AFB">
      <w:pPr>
        <w:jc w:val="center"/>
        <w:rPr>
          <w:b/>
        </w:rPr>
      </w:pPr>
      <w:r w:rsidRPr="00864C6F">
        <w:rPr>
          <w:noProof/>
          <w:lang w:val="es-UY" w:eastAsia="es-UY"/>
        </w:rPr>
        <w:drawing>
          <wp:inline distT="0" distB="0" distL="0" distR="0" wp14:anchorId="6977F53B" wp14:editId="3A07C6CE">
            <wp:extent cx="5400040" cy="925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C555" w14:textId="77777777" w:rsidR="008B284B" w:rsidRDefault="008B284B" w:rsidP="003A0AFB">
      <w:pPr>
        <w:jc w:val="center"/>
        <w:rPr>
          <w:b/>
        </w:rPr>
      </w:pPr>
    </w:p>
    <w:p w14:paraId="5D893B7F" w14:textId="77777777" w:rsidR="003A0AFB" w:rsidRPr="003A0AFB" w:rsidRDefault="003A0AFB" w:rsidP="003A0AFB">
      <w:pPr>
        <w:jc w:val="center"/>
        <w:rPr>
          <w:b/>
        </w:rPr>
      </w:pPr>
      <w:r w:rsidRPr="003A0AFB">
        <w:rPr>
          <w:b/>
        </w:rPr>
        <w:t>PROGRAMA DE CURSO</w:t>
      </w:r>
    </w:p>
    <w:p w14:paraId="74BC6D5F" w14:textId="77777777" w:rsidR="003A0AFB" w:rsidRDefault="003A0AFB" w:rsidP="003A0AFB"/>
    <w:p w14:paraId="7BBCC779" w14:textId="5B03ABCA" w:rsidR="00335ECC" w:rsidRPr="00F2356B" w:rsidRDefault="00335ECC" w:rsidP="003A0AFB">
      <w:pPr>
        <w:jc w:val="center"/>
      </w:pPr>
      <w:r>
        <w:rPr>
          <w:rFonts w:ascii="Arial" w:hAnsi="Arial" w:cs="Arial"/>
          <w:color w:val="000000"/>
        </w:rPr>
        <w:t xml:space="preserve"> </w:t>
      </w:r>
      <w:r w:rsidR="00470D61">
        <w:rPr>
          <w:bCs/>
          <w:color w:val="000000"/>
        </w:rPr>
        <w:t>INTRODUCCIÓN AL LABORATORIO CLÍNICO</w:t>
      </w:r>
      <w:r w:rsidRPr="00F2356B">
        <w:br/>
      </w:r>
      <w:r w:rsidR="003A0AFB" w:rsidRPr="00F2356B">
        <w:t>202</w:t>
      </w:r>
      <w:r w:rsidR="00C936AF">
        <w:t>4</w:t>
      </w:r>
    </w:p>
    <w:p w14:paraId="143D77CD" w14:textId="77777777" w:rsidR="003A0AFB" w:rsidRPr="003A0AFB" w:rsidRDefault="003A0AFB" w:rsidP="003A0AFB">
      <w:pPr>
        <w:jc w:val="center"/>
      </w:pPr>
    </w:p>
    <w:p w14:paraId="1529BD48" w14:textId="77777777" w:rsidR="003A0AFB" w:rsidRPr="00F2356B" w:rsidRDefault="00F2356B">
      <w:pPr>
        <w:rPr>
          <w:b/>
        </w:rPr>
      </w:pPr>
      <w:r w:rsidRPr="00F2356B">
        <w:rPr>
          <w:b/>
        </w:rPr>
        <w:t>UBICACIÓN CURRICULAR Y PREVIATURAS</w:t>
      </w:r>
    </w:p>
    <w:p w14:paraId="7D4F2368" w14:textId="77777777" w:rsidR="003A0AFB" w:rsidRDefault="003A0AFB">
      <w:pPr>
        <w:rPr>
          <w:rFonts w:ascii="Arial" w:hAnsi="Arial" w:cs="Arial"/>
          <w:color w:val="000000"/>
        </w:rPr>
      </w:pPr>
    </w:p>
    <w:p w14:paraId="600E4C15" w14:textId="77777777" w:rsidR="003A0AFB" w:rsidRPr="00F2356B" w:rsidRDefault="00470D61">
      <w:pPr>
        <w:rPr>
          <w:color w:val="000000"/>
        </w:rPr>
      </w:pPr>
      <w:r>
        <w:rPr>
          <w:color w:val="000000"/>
        </w:rPr>
        <w:t>Asignatura anual de primer</w:t>
      </w:r>
      <w:r w:rsidR="003A0AFB" w:rsidRPr="00F2356B">
        <w:rPr>
          <w:color w:val="000000"/>
        </w:rPr>
        <w:t xml:space="preserve"> año.</w:t>
      </w:r>
      <w:r w:rsidR="00F2356B" w:rsidRPr="00F2356B">
        <w:t xml:space="preserve"> </w:t>
      </w:r>
    </w:p>
    <w:p w14:paraId="1F89B2D9" w14:textId="77777777" w:rsidR="00335ECC" w:rsidRPr="00F2356B" w:rsidRDefault="00335ECC">
      <w:r w:rsidRPr="00F2356B">
        <w:br/>
      </w:r>
    </w:p>
    <w:p w14:paraId="009EF3EC" w14:textId="77777777" w:rsidR="003A0AFB" w:rsidRPr="00F2356B" w:rsidRDefault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EQUIPO DOCENTE A CARGO</w:t>
      </w:r>
    </w:p>
    <w:p w14:paraId="6D0043FA" w14:textId="77777777" w:rsidR="003A0AFB" w:rsidRPr="003A0AFB" w:rsidRDefault="003A0AFB">
      <w:pPr>
        <w:rPr>
          <w:rFonts w:ascii="Arial" w:hAnsi="Arial" w:cs="Arial"/>
          <w:b/>
          <w:color w:val="000000"/>
          <w:lang w:val="pt-BR"/>
        </w:rPr>
      </w:pPr>
    </w:p>
    <w:p w14:paraId="56F7446F" w14:textId="77777777" w:rsidR="00C936AF" w:rsidRDefault="00470D61">
      <w:pPr>
        <w:rPr>
          <w:color w:val="000000"/>
        </w:rPr>
      </w:pPr>
      <w:r>
        <w:rPr>
          <w:color w:val="000000"/>
        </w:rPr>
        <w:t>Prof. Agda. Lic. Gabriela Recoba</w:t>
      </w:r>
      <w:r w:rsidR="00335ECC" w:rsidRPr="00F2356B">
        <w:rPr>
          <w:color w:val="000000"/>
        </w:rPr>
        <w:t xml:space="preserve"> </w:t>
      </w:r>
    </w:p>
    <w:p w14:paraId="334F6B7B" w14:textId="77777777" w:rsidR="00C936AF" w:rsidRDefault="00470D61">
      <w:pPr>
        <w:rPr>
          <w:color w:val="000000"/>
        </w:rPr>
      </w:pPr>
      <w:proofErr w:type="spellStart"/>
      <w:r>
        <w:rPr>
          <w:color w:val="000000"/>
        </w:rPr>
        <w:t>Prof.Adj</w:t>
      </w:r>
      <w:proofErr w:type="spellEnd"/>
      <w:r>
        <w:rPr>
          <w:color w:val="000000"/>
        </w:rPr>
        <w:t xml:space="preserve">. Lic. </w:t>
      </w:r>
      <w:proofErr w:type="spellStart"/>
      <w:r>
        <w:rPr>
          <w:color w:val="000000"/>
        </w:rPr>
        <w:t>Andreína</w:t>
      </w:r>
      <w:proofErr w:type="spellEnd"/>
      <w:r>
        <w:rPr>
          <w:color w:val="000000"/>
        </w:rPr>
        <w:t xml:space="preserve"> Guarino</w:t>
      </w:r>
    </w:p>
    <w:p w14:paraId="3E3CC435" w14:textId="3D7B03D9" w:rsidR="00335ECC" w:rsidRPr="00F2356B" w:rsidRDefault="00EB313F">
      <w:pPr>
        <w:rPr>
          <w:color w:val="000000"/>
        </w:rPr>
      </w:pPr>
      <w:proofErr w:type="spellStart"/>
      <w:r>
        <w:rPr>
          <w:color w:val="000000"/>
        </w:rPr>
        <w:t>Asist.Lic</w:t>
      </w:r>
      <w:proofErr w:type="spellEnd"/>
      <w:r>
        <w:rPr>
          <w:color w:val="000000"/>
        </w:rPr>
        <w:t>. Brenda Alles</w:t>
      </w:r>
    </w:p>
    <w:p w14:paraId="3C400A55" w14:textId="77777777" w:rsidR="00335ECC" w:rsidRPr="003A0AFB" w:rsidRDefault="00335ECC">
      <w:pPr>
        <w:rPr>
          <w:rFonts w:ascii="Arial" w:hAnsi="Arial" w:cs="Arial"/>
          <w:color w:val="000000"/>
          <w:lang w:val="es-UY"/>
        </w:rPr>
      </w:pPr>
    </w:p>
    <w:p w14:paraId="7FD939FD" w14:textId="77777777" w:rsidR="003A0AFB" w:rsidRDefault="003A0AFB">
      <w:pPr>
        <w:rPr>
          <w:rFonts w:ascii="Arial" w:hAnsi="Arial" w:cs="Arial"/>
          <w:color w:val="000000"/>
        </w:rPr>
      </w:pPr>
    </w:p>
    <w:p w14:paraId="4B929A51" w14:textId="77777777" w:rsidR="003A0AFB" w:rsidRDefault="00F2356B">
      <w:pPr>
        <w:rPr>
          <w:rFonts w:ascii="Arial" w:hAnsi="Arial" w:cs="Arial"/>
          <w:color w:val="000000"/>
        </w:rPr>
      </w:pPr>
      <w:r w:rsidRPr="00F2356B">
        <w:rPr>
          <w:b/>
          <w:color w:val="000000"/>
          <w:lang w:val="pt-BR"/>
        </w:rPr>
        <w:t>FUNDAMENTACIÓN Y OBJETIVOS GENERALES</w:t>
      </w:r>
    </w:p>
    <w:p w14:paraId="5236F58F" w14:textId="77777777" w:rsidR="00470D61" w:rsidRPr="00470D61" w:rsidRDefault="00470D61" w:rsidP="00470D61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D61">
        <w:rPr>
          <w:color w:val="000000"/>
          <w:kern w:val="1"/>
          <w:lang w:val="es-ES" w:eastAsia="ar-SA"/>
        </w:rPr>
        <w:t>Familiarizar al estudiante con los procedimientos básicos y equipos con que se desarrollará su actividad profesional.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Capacitarlo para la comprensión de sus fundamentos y utilización racional y creativa.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Conocer las Normas que regulan los Laboratorios Clínicos en Uruguay. Introducción a la gestión de los Laboratorios Clínicos. Reafirmar conceptos de Bioseguridad, antisepsia, desinfección e esterilización, así como Seguridad en el Laboratorio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Afirmar los conocimientos de física necesarios para la comprensión del funcionamiento de los equipos que utiliza para su mejor uso y conservación.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Conocer el instrumental de vidrio y sus diferentes características e indicaciones específicas.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Conocer los procedimientos generales y metodologías fundamentales del laboratorio.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Adquirir manualidad y destrezas para un mejor aprovechamiento de su formación profesional.</w:t>
      </w:r>
    </w:p>
    <w:p w14:paraId="21774A84" w14:textId="77777777" w:rsidR="00470D61" w:rsidRPr="00470D61" w:rsidRDefault="00470D61" w:rsidP="00470D61">
      <w:pPr>
        <w:pStyle w:val="NormalWeb"/>
        <w:spacing w:after="0"/>
        <w:rPr>
          <w:color w:val="000000"/>
          <w:kern w:val="1"/>
          <w:lang w:eastAsia="ar-SA"/>
        </w:rPr>
      </w:pPr>
    </w:p>
    <w:p w14:paraId="78725C14" w14:textId="77777777" w:rsidR="00335ECC" w:rsidRDefault="00F2356B" w:rsidP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METODOLOGÍA DE ENSEÑANZA</w:t>
      </w:r>
    </w:p>
    <w:p w14:paraId="564358F6" w14:textId="77777777" w:rsidR="00470D61" w:rsidRPr="00470D61" w:rsidRDefault="00470D61" w:rsidP="00470D61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D61">
        <w:rPr>
          <w:color w:val="000000"/>
          <w:kern w:val="1"/>
          <w:lang w:val="es-ES" w:eastAsia="ar-SA"/>
        </w:rPr>
        <w:t>Curso con contenidos teóricos y prácticos. La información teórica se orientará a la práctica en grupos de discusión e intercambio. La práctica de laboratorio se realizará en grupos reducidos hasta adquisición de seguridad manual y de conceptos.</w:t>
      </w:r>
    </w:p>
    <w:p w14:paraId="70B8AC35" w14:textId="77777777" w:rsidR="00B46B42" w:rsidRPr="00470D61" w:rsidRDefault="00B46B42" w:rsidP="00F2356B">
      <w:pPr>
        <w:rPr>
          <w:color w:val="000000"/>
          <w:lang w:val="es-UY"/>
        </w:rPr>
      </w:pPr>
    </w:p>
    <w:p w14:paraId="77B35B19" w14:textId="77777777" w:rsidR="00B46B42" w:rsidRPr="00B46B42" w:rsidRDefault="00B46B42" w:rsidP="00F2356B">
      <w:pPr>
        <w:rPr>
          <w:color w:val="000000"/>
          <w:lang w:val="pt-BR"/>
        </w:rPr>
      </w:pPr>
    </w:p>
    <w:p w14:paraId="36BAB303" w14:textId="77777777" w:rsidR="00335ECC" w:rsidRPr="00B46B42" w:rsidRDefault="00B46B42">
      <w:pPr>
        <w:rPr>
          <w:rFonts w:ascii="Arial" w:hAnsi="Arial" w:cs="Arial"/>
          <w:color w:val="000000"/>
        </w:rPr>
      </w:pPr>
      <w:r w:rsidRPr="00B46B42">
        <w:rPr>
          <w:b/>
          <w:color w:val="000000"/>
          <w:lang w:val="pt-BR"/>
        </w:rPr>
        <w:t>CONTENIDOS TEMÁTICOS</w:t>
      </w:r>
    </w:p>
    <w:p w14:paraId="33724758" w14:textId="77777777" w:rsidR="00470D61" w:rsidRPr="00470D61" w:rsidRDefault="00470D61" w:rsidP="00470D61">
      <w:pPr>
        <w:pStyle w:val="NormalWeb"/>
        <w:spacing w:after="0"/>
        <w:rPr>
          <w:b/>
          <w:color w:val="000000"/>
          <w:kern w:val="1"/>
          <w:lang w:val="pt-BR" w:eastAsia="ar-SA"/>
        </w:rPr>
      </w:pPr>
      <w:r w:rsidRPr="00470D61">
        <w:rPr>
          <w:b/>
          <w:color w:val="000000"/>
          <w:kern w:val="1"/>
          <w:lang w:val="pt-BR" w:eastAsia="ar-SA"/>
        </w:rPr>
        <w:t xml:space="preserve">MODULO I.- </w:t>
      </w:r>
      <w:r w:rsidRPr="00470D61">
        <w:rPr>
          <w:color w:val="000000"/>
          <w:kern w:val="1"/>
          <w:lang w:val="es-ES" w:eastAsia="ar-SA"/>
        </w:rPr>
        <w:t xml:space="preserve">Organización de la Licenciatura en Laboratorio Clínico, presentación del Plan de estudios, contenido curricular.-Organización y administración de un Laboratorio Clínico. Ordenanza Ministerial, MSP 129/05 y anexos, que lo regula. Clasificación de los laboratorios por su grado de complejidad. </w:t>
      </w:r>
    </w:p>
    <w:p w14:paraId="4227B8DC" w14:textId="77777777" w:rsidR="00470D61" w:rsidRDefault="00470D61" w:rsidP="00470D61">
      <w:pPr>
        <w:pStyle w:val="NormalWeb"/>
        <w:spacing w:after="0"/>
      </w:pPr>
    </w:p>
    <w:p w14:paraId="08EBAB1D" w14:textId="77777777" w:rsidR="00470D61" w:rsidRPr="00470D61" w:rsidRDefault="00470D61" w:rsidP="00470D61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D61">
        <w:rPr>
          <w:b/>
          <w:color w:val="000000"/>
          <w:kern w:val="1"/>
          <w:lang w:val="pt-BR" w:eastAsia="ar-SA"/>
        </w:rPr>
        <w:lastRenderedPageBreak/>
        <w:t>MODULO II.-</w:t>
      </w:r>
      <w:r>
        <w:rPr>
          <w:rFonts w:ascii="Arial" w:hAnsi="Arial" w:cs="Arial"/>
        </w:rPr>
        <w:t xml:space="preserve"> </w:t>
      </w:r>
      <w:r w:rsidRPr="00470D61">
        <w:rPr>
          <w:color w:val="000000"/>
          <w:kern w:val="1"/>
          <w:lang w:val="es-ES" w:eastAsia="ar-SA"/>
        </w:rPr>
        <w:t>Introducción a la Gestión de Calidad en el Laboratorio Clínico La importancia de la calidad en el laboratorio Descripción general del sistema de gestión de la calidad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 xml:space="preserve">El modelo de sistema de gestión de la calidad Normas internacionales para laboratorios </w:t>
      </w:r>
    </w:p>
    <w:p w14:paraId="54102D2F" w14:textId="77777777" w:rsidR="00470D61" w:rsidRPr="00470D61" w:rsidRDefault="00470D61" w:rsidP="00470D61">
      <w:pPr>
        <w:pStyle w:val="NormalWeb"/>
        <w:spacing w:after="0"/>
      </w:pPr>
      <w:r w:rsidRPr="00470D61">
        <w:rPr>
          <w:b/>
          <w:color w:val="000000"/>
          <w:kern w:val="1"/>
          <w:lang w:val="pt-BR" w:eastAsia="ar-SA"/>
        </w:rPr>
        <w:t>MODULO III.</w:t>
      </w:r>
      <w:r>
        <w:rPr>
          <w:rFonts w:ascii="Arial" w:hAnsi="Arial" w:cs="Arial"/>
        </w:rPr>
        <w:t>-</w:t>
      </w:r>
      <w:r w:rsidR="003F20FE">
        <w:rPr>
          <w:color w:val="000000"/>
          <w:kern w:val="1"/>
          <w:lang w:val="es-ES" w:eastAsia="ar-SA"/>
        </w:rPr>
        <w:t xml:space="preserve">Bioseguridad. </w:t>
      </w:r>
      <w:r w:rsidRPr="00470D61">
        <w:rPr>
          <w:color w:val="000000"/>
          <w:kern w:val="1"/>
          <w:lang w:val="es-ES" w:eastAsia="ar-SA"/>
        </w:rPr>
        <w:t>Definición. Principios de Bioseguridad. Implementación Barreras primarias, secundarias y terciarias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Niveles de Bioseguridad, cabinas de Bioseguridad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>Manejo y eliminación de materiales contaminado</w:t>
      </w:r>
      <w:r>
        <w:rPr>
          <w:color w:val="000000"/>
          <w:kern w:val="1"/>
          <w:lang w:val="es-ES" w:eastAsia="ar-SA"/>
        </w:rPr>
        <w:t>s</w:t>
      </w:r>
      <w:r w:rsidRPr="00470D61">
        <w:rPr>
          <w:color w:val="000000"/>
          <w:kern w:val="1"/>
          <w:lang w:val="es-ES" w:eastAsia="ar-SA"/>
        </w:rPr>
        <w:t xml:space="preserve"> y de desechos. Norma Nacionales. Decreto Nº 586/009</w:t>
      </w:r>
      <w:r>
        <w:rPr>
          <w:color w:val="000000"/>
          <w:kern w:val="1"/>
          <w:lang w:val="es-ES" w:eastAsia="ar-SA"/>
        </w:rPr>
        <w:t xml:space="preserve"> </w:t>
      </w:r>
      <w:r w:rsidRPr="00470D61">
        <w:rPr>
          <w:color w:val="000000"/>
          <w:kern w:val="1"/>
          <w:lang w:val="es-ES" w:eastAsia="ar-SA"/>
        </w:rPr>
        <w:t xml:space="preserve">Comité de Bioseguridad. Responsables en Bioseguridad. Manual de Bioseguridad </w:t>
      </w:r>
    </w:p>
    <w:p w14:paraId="0BA24004" w14:textId="77777777" w:rsidR="00470D61" w:rsidRDefault="00470D61" w:rsidP="00470D61">
      <w:pPr>
        <w:pStyle w:val="NormalWeb"/>
        <w:spacing w:after="0"/>
      </w:pPr>
      <w:r>
        <w:rPr>
          <w:rFonts w:ascii="Arial" w:hAnsi="Arial" w:cs="Arial"/>
          <w:b/>
          <w:bCs/>
        </w:rPr>
        <w:t>MODULO IV.-</w:t>
      </w:r>
      <w:r w:rsidRPr="00470D61">
        <w:rPr>
          <w:color w:val="000000"/>
          <w:kern w:val="1"/>
          <w:lang w:val="es-ES" w:eastAsia="ar-SA"/>
        </w:rPr>
        <w:t>Antisepsia. Concepto. Antisépticos de uso habitual</w:t>
      </w:r>
      <w:r>
        <w:t xml:space="preserve"> </w:t>
      </w:r>
      <w:r w:rsidRPr="00470D61">
        <w:rPr>
          <w:color w:val="000000"/>
          <w:kern w:val="1"/>
          <w:lang w:val="es-ES" w:eastAsia="ar-SA"/>
        </w:rPr>
        <w:t xml:space="preserve">Desinfección. Concepto. Desinfectantes: clasificación, principales grupos de desinfectantes. Lavado del material de vidrio Esterilización del material. Concepto. Métodos empleados Físicos, químicos. Uso del Autoclave y Estufa </w:t>
      </w:r>
      <w:proofErr w:type="spellStart"/>
      <w:r w:rsidRPr="00470D61">
        <w:rPr>
          <w:color w:val="000000"/>
          <w:kern w:val="1"/>
          <w:lang w:val="es-ES" w:eastAsia="ar-SA"/>
        </w:rPr>
        <w:t>Poupinell</w:t>
      </w:r>
      <w:proofErr w:type="spellEnd"/>
      <w:r w:rsidRPr="00470D61">
        <w:rPr>
          <w:color w:val="000000"/>
          <w:kern w:val="1"/>
          <w:lang w:val="es-ES" w:eastAsia="ar-SA"/>
        </w:rPr>
        <w:t>. Plasma peróxido de Hi</w:t>
      </w:r>
      <w:r>
        <w:rPr>
          <w:color w:val="000000"/>
          <w:kern w:val="1"/>
          <w:lang w:val="es-ES" w:eastAsia="ar-SA"/>
        </w:rPr>
        <w:t xml:space="preserve">drogeno, Óxido de </w:t>
      </w:r>
      <w:proofErr w:type="spellStart"/>
      <w:r>
        <w:rPr>
          <w:color w:val="000000"/>
          <w:kern w:val="1"/>
          <w:lang w:val="es-ES" w:eastAsia="ar-SA"/>
        </w:rPr>
        <w:t>Etileno.</w:t>
      </w:r>
      <w:r w:rsidRPr="00470D61">
        <w:rPr>
          <w:color w:val="000000"/>
          <w:kern w:val="1"/>
          <w:lang w:val="es-ES" w:eastAsia="ar-SA"/>
        </w:rPr>
        <w:t>Manejo</w:t>
      </w:r>
      <w:proofErr w:type="spellEnd"/>
      <w:r w:rsidRPr="00470D61">
        <w:rPr>
          <w:color w:val="000000"/>
          <w:kern w:val="1"/>
          <w:lang w:val="es-ES" w:eastAsia="ar-SA"/>
        </w:rPr>
        <w:t xml:space="preserve"> de productos químicos peligrosos. Seguridad en el laboratorio. Señalización, signos, recomendaciones</w:t>
      </w:r>
      <w:r>
        <w:rPr>
          <w:rFonts w:ascii="Arial" w:hAnsi="Arial" w:cs="Arial"/>
        </w:rPr>
        <w:t>.</w:t>
      </w:r>
    </w:p>
    <w:p w14:paraId="6A7E880E" w14:textId="77777777" w:rsidR="00470D61" w:rsidRPr="003F20FE" w:rsidRDefault="00470D61" w:rsidP="00470D61">
      <w:pPr>
        <w:pStyle w:val="NormalWeb"/>
        <w:spacing w:after="0"/>
        <w:rPr>
          <w:b/>
          <w:color w:val="000000"/>
          <w:kern w:val="1"/>
          <w:lang w:val="pt-BR" w:eastAsia="ar-SA"/>
        </w:rPr>
      </w:pPr>
      <w:r w:rsidRPr="003F20FE">
        <w:rPr>
          <w:b/>
          <w:color w:val="000000"/>
          <w:kern w:val="1"/>
          <w:lang w:val="pt-BR" w:eastAsia="ar-SA"/>
        </w:rPr>
        <w:t xml:space="preserve">MODULO V.- </w:t>
      </w:r>
      <w:r w:rsidRPr="003F20FE">
        <w:rPr>
          <w:color w:val="000000"/>
          <w:kern w:val="1"/>
          <w:lang w:val="es-ES" w:eastAsia="ar-SA"/>
        </w:rPr>
        <w:t>Materiales de uso en el laboratorio. Clasificación-Vidrio, plástico, porcelana.</w:t>
      </w:r>
      <w:r w:rsidR="003F20FE">
        <w:rPr>
          <w:color w:val="000000"/>
          <w:kern w:val="1"/>
          <w:lang w:val="es-ES" w:eastAsia="ar-SA"/>
        </w:rPr>
        <w:t xml:space="preserve"> </w:t>
      </w:r>
      <w:r w:rsidRPr="003F20FE">
        <w:rPr>
          <w:color w:val="000000"/>
          <w:kern w:val="1"/>
          <w:lang w:val="es-ES" w:eastAsia="ar-SA"/>
        </w:rPr>
        <w:t xml:space="preserve">Material volumétrico. Mediciones de volumen.-Matraces aforados, pipetas, probetas, dispensadores automáticos. Indicaciones para su uso. Limpieza y conservación. Material no volumétrico. Matraces </w:t>
      </w:r>
      <w:proofErr w:type="spellStart"/>
      <w:r w:rsidRPr="003F20FE">
        <w:rPr>
          <w:color w:val="000000"/>
          <w:kern w:val="1"/>
          <w:lang w:val="es-ES" w:eastAsia="ar-SA"/>
        </w:rPr>
        <w:t>Erlenmeyers</w:t>
      </w:r>
      <w:proofErr w:type="spellEnd"/>
      <w:r w:rsidRPr="003F20FE">
        <w:rPr>
          <w:color w:val="000000"/>
          <w:kern w:val="1"/>
          <w:lang w:val="es-ES" w:eastAsia="ar-SA"/>
        </w:rPr>
        <w:t>, Vasos de precipitado o de Bohemia, tubos de ensayo. Indicaciones para su uso. Limpieza y conservación</w:t>
      </w:r>
      <w:r w:rsidR="003F20FE">
        <w:rPr>
          <w:b/>
          <w:color w:val="000000"/>
          <w:kern w:val="1"/>
          <w:lang w:val="pt-BR" w:eastAsia="ar-SA"/>
        </w:rPr>
        <w:t xml:space="preserve"> </w:t>
      </w:r>
      <w:r w:rsidRPr="003F20FE">
        <w:rPr>
          <w:color w:val="000000"/>
          <w:kern w:val="1"/>
          <w:lang w:val="es-ES" w:eastAsia="ar-SA"/>
        </w:rPr>
        <w:t>Pipetas automáticas, indicaciones de su uso, limpieza y conservación. Causas de error.</w:t>
      </w:r>
    </w:p>
    <w:p w14:paraId="35673DD6" w14:textId="5E958E4D" w:rsidR="00EB313F" w:rsidRPr="003F20FE" w:rsidRDefault="00470D61" w:rsidP="00EB313F">
      <w:pPr>
        <w:pStyle w:val="NormalWeb"/>
        <w:spacing w:after="0"/>
        <w:rPr>
          <w:color w:val="000000"/>
          <w:kern w:val="1"/>
          <w:lang w:val="es-ES" w:eastAsia="ar-SA"/>
        </w:rPr>
      </w:pPr>
      <w:r w:rsidRPr="003F20FE">
        <w:rPr>
          <w:b/>
          <w:color w:val="000000"/>
          <w:kern w:val="1"/>
          <w:lang w:val="pt-BR" w:eastAsia="ar-SA"/>
        </w:rPr>
        <w:t>MODULO VI</w:t>
      </w:r>
      <w:r>
        <w:rPr>
          <w:rFonts w:ascii="Arial" w:hAnsi="Arial" w:cs="Arial"/>
          <w:b/>
          <w:bCs/>
        </w:rPr>
        <w:t>.-</w:t>
      </w:r>
      <w:r w:rsidRPr="003F20FE">
        <w:rPr>
          <w:color w:val="000000"/>
          <w:kern w:val="1"/>
          <w:lang w:val="es-ES" w:eastAsia="ar-SA"/>
        </w:rPr>
        <w:t>Aparatos térmicos. Mecheros- Bunsen, Baños termorregulados (termostáticos). Estufas de cultivo y de secado. Concepto. Descripción. Fundamentos de uso. Control y mantenimiento</w:t>
      </w:r>
      <w:r w:rsidR="00EB313F">
        <w:rPr>
          <w:color w:val="000000"/>
          <w:kern w:val="1"/>
          <w:lang w:val="es-ES" w:eastAsia="ar-SA"/>
        </w:rPr>
        <w:t xml:space="preserve">.                                                                                                                                                      </w:t>
      </w:r>
      <w:r w:rsidR="00EB313F" w:rsidRPr="00EB313F">
        <w:rPr>
          <w:rFonts w:ascii="Arial" w:hAnsi="Arial" w:cs="Arial"/>
          <w:b/>
          <w:bCs/>
        </w:rPr>
        <w:t>-</w:t>
      </w:r>
      <w:r w:rsidR="00EB313F" w:rsidRPr="003F20FE">
        <w:rPr>
          <w:color w:val="000000"/>
          <w:kern w:val="1"/>
          <w:lang w:val="es-ES" w:eastAsia="ar-SA"/>
        </w:rPr>
        <w:t>Centrífugas. Concepto. Indicaciones de uso. Fundamento. Control y mantenimiento</w:t>
      </w:r>
      <w:r w:rsidR="00EB313F">
        <w:rPr>
          <w:color w:val="000000"/>
          <w:kern w:val="1"/>
          <w:lang w:val="es-ES" w:eastAsia="ar-SA"/>
        </w:rPr>
        <w:t xml:space="preserve">.                                      </w:t>
      </w:r>
      <w:r w:rsidR="00EB313F" w:rsidRPr="00EB313F">
        <w:rPr>
          <w:color w:val="000000"/>
          <w:kern w:val="1"/>
          <w:lang w:val="es-ES" w:eastAsia="ar-SA"/>
        </w:rPr>
        <w:t>-</w:t>
      </w:r>
      <w:r w:rsidR="00EB313F" w:rsidRPr="003F20FE">
        <w:rPr>
          <w:color w:val="000000"/>
          <w:kern w:val="1"/>
          <w:lang w:val="es-ES" w:eastAsia="ar-SA"/>
        </w:rPr>
        <w:t>Heladeras y Congeladores (Freezers). Indicaciones de uso. Control y Mantenimiento</w:t>
      </w:r>
      <w:r w:rsidR="00EB313F">
        <w:rPr>
          <w:color w:val="000000"/>
          <w:kern w:val="1"/>
          <w:lang w:val="es-ES" w:eastAsia="ar-SA"/>
        </w:rPr>
        <w:t xml:space="preserve">.                                               -Balanza. Descripción. Tipos de balanzas. Usos                                                                        </w:t>
      </w:r>
    </w:p>
    <w:p w14:paraId="2CEE06D9" w14:textId="74D78C08" w:rsidR="003F20FE" w:rsidRPr="00EB313F" w:rsidRDefault="00470D61" w:rsidP="003F20FE">
      <w:pPr>
        <w:pStyle w:val="NormalWeb"/>
        <w:spacing w:after="0"/>
        <w:rPr>
          <w:color w:val="000000"/>
          <w:kern w:val="1"/>
          <w:lang w:val="es-ES" w:eastAsia="ar-SA"/>
        </w:rPr>
      </w:pPr>
      <w:r w:rsidRPr="003F20FE">
        <w:rPr>
          <w:b/>
          <w:color w:val="000000"/>
          <w:kern w:val="1"/>
          <w:lang w:val="pt-BR" w:eastAsia="ar-SA"/>
        </w:rPr>
        <w:t>MODULO VII</w:t>
      </w:r>
      <w:r w:rsidR="00EB313F">
        <w:rPr>
          <w:b/>
          <w:color w:val="000000"/>
          <w:kern w:val="1"/>
          <w:lang w:val="pt-BR" w:eastAsia="ar-SA"/>
        </w:rPr>
        <w:t xml:space="preserve">.- </w:t>
      </w:r>
      <w:r w:rsidR="00EB313F" w:rsidRPr="00EB313F">
        <w:rPr>
          <w:color w:val="000000"/>
          <w:kern w:val="1"/>
          <w:lang w:val="es-ES" w:eastAsia="ar-SA"/>
        </w:rPr>
        <w:t>Soluciones.</w:t>
      </w:r>
      <w:r w:rsidR="00EB313F">
        <w:rPr>
          <w:color w:val="000000"/>
          <w:kern w:val="1"/>
          <w:lang w:val="es-ES" w:eastAsia="ar-SA"/>
        </w:rPr>
        <w:t xml:space="preserve"> </w:t>
      </w:r>
      <w:r w:rsidR="00EB313F" w:rsidRPr="00EB313F">
        <w:rPr>
          <w:color w:val="000000"/>
          <w:kern w:val="1"/>
          <w:lang w:val="es-ES" w:eastAsia="ar-SA"/>
        </w:rPr>
        <w:t>Concepto. Modos de expresar</w:t>
      </w:r>
      <w:r w:rsidR="00EB313F">
        <w:rPr>
          <w:color w:val="000000"/>
          <w:kern w:val="1"/>
          <w:lang w:val="es-ES" w:eastAsia="ar-SA"/>
        </w:rPr>
        <w:t xml:space="preserve"> la concentración. Preparación de soluciones. Diluciones seriadas.</w:t>
      </w:r>
      <w:r w:rsidR="005E150C">
        <w:rPr>
          <w:color w:val="000000"/>
          <w:kern w:val="1"/>
          <w:lang w:val="es-ES" w:eastAsia="ar-SA"/>
        </w:rPr>
        <w:t xml:space="preserve"> </w:t>
      </w:r>
      <w:r w:rsidR="00EB313F">
        <w:rPr>
          <w:color w:val="000000"/>
          <w:kern w:val="1"/>
          <w:lang w:val="es-ES" w:eastAsia="ar-SA"/>
        </w:rPr>
        <w:t>Ejercicios.</w:t>
      </w:r>
    </w:p>
    <w:p w14:paraId="42898F12" w14:textId="77777777" w:rsidR="00470D61" w:rsidRPr="003F20FE" w:rsidRDefault="003F20FE" w:rsidP="00470D61">
      <w:pPr>
        <w:pStyle w:val="NormalWeb"/>
        <w:spacing w:after="0"/>
        <w:rPr>
          <w:color w:val="000000"/>
          <w:kern w:val="1"/>
          <w:lang w:val="es-ES" w:eastAsia="ar-SA"/>
        </w:rPr>
      </w:pPr>
      <w:r w:rsidRPr="003F20FE">
        <w:rPr>
          <w:b/>
          <w:color w:val="000000"/>
          <w:kern w:val="1"/>
          <w:lang w:val="pt-BR" w:eastAsia="ar-SA"/>
        </w:rPr>
        <w:t>MODULO VIII</w:t>
      </w:r>
      <w:r>
        <w:rPr>
          <w:b/>
          <w:color w:val="000000"/>
          <w:kern w:val="1"/>
          <w:lang w:val="pt-BR" w:eastAsia="ar-SA"/>
        </w:rPr>
        <w:t>.-</w:t>
      </w:r>
      <w:r w:rsidR="00470D61" w:rsidRPr="003F20FE">
        <w:rPr>
          <w:color w:val="000000"/>
          <w:kern w:val="1"/>
          <w:lang w:val="es-ES" w:eastAsia="ar-SA"/>
        </w:rPr>
        <w:t>Microscopios. Física óptica Componentes de un microscopio óptico</w:t>
      </w:r>
      <w:r>
        <w:rPr>
          <w:color w:val="000000"/>
          <w:kern w:val="1"/>
          <w:lang w:val="es-ES" w:eastAsia="ar-SA"/>
        </w:rPr>
        <w:t xml:space="preserve">. </w:t>
      </w:r>
      <w:r w:rsidR="00470D61" w:rsidRPr="003F20FE">
        <w:rPr>
          <w:color w:val="000000"/>
          <w:kern w:val="1"/>
          <w:lang w:val="es-ES" w:eastAsia="ar-SA"/>
        </w:rPr>
        <w:t xml:space="preserve">Indicaciones de su uso. Enfoque para preparaciones frescas, enfoque para láminas coloreadas. Limpieza y </w:t>
      </w:r>
      <w:proofErr w:type="spellStart"/>
      <w:r w:rsidR="00470D61" w:rsidRPr="003F20FE">
        <w:rPr>
          <w:color w:val="000000"/>
          <w:kern w:val="1"/>
          <w:lang w:val="es-ES" w:eastAsia="ar-SA"/>
        </w:rPr>
        <w:t>mantenimiento.Tipos</w:t>
      </w:r>
      <w:proofErr w:type="spellEnd"/>
      <w:r w:rsidR="00470D61" w:rsidRPr="003F20FE">
        <w:rPr>
          <w:color w:val="000000"/>
          <w:kern w:val="1"/>
          <w:lang w:val="es-ES" w:eastAsia="ar-SA"/>
        </w:rPr>
        <w:t xml:space="preserve"> de Microscopios: </w:t>
      </w:r>
      <w:proofErr w:type="spellStart"/>
      <w:r w:rsidR="00470D61" w:rsidRPr="003F20FE">
        <w:rPr>
          <w:color w:val="000000"/>
          <w:kern w:val="1"/>
          <w:lang w:val="es-ES" w:eastAsia="ar-SA"/>
        </w:rPr>
        <w:t>Inmuno</w:t>
      </w:r>
      <w:proofErr w:type="spellEnd"/>
      <w:r w:rsidR="00470D61" w:rsidRPr="003F20FE">
        <w:rPr>
          <w:color w:val="000000"/>
          <w:kern w:val="1"/>
          <w:lang w:val="es-ES" w:eastAsia="ar-SA"/>
        </w:rPr>
        <w:t>-fluorescencia, Contraste de fases, Campo oscuro, Electrónico de barrido, de Transmisión, Invertido</w:t>
      </w:r>
      <w:r w:rsidR="00470D61">
        <w:rPr>
          <w:rFonts w:ascii="Arial" w:hAnsi="Arial" w:cs="Arial"/>
        </w:rPr>
        <w:t>.</w:t>
      </w:r>
    </w:p>
    <w:p w14:paraId="32427005" w14:textId="77777777" w:rsidR="00470D61" w:rsidRDefault="003F20FE" w:rsidP="00470D61">
      <w:pPr>
        <w:pStyle w:val="NormalWeb"/>
        <w:spacing w:after="0"/>
      </w:pPr>
      <w:r>
        <w:rPr>
          <w:rFonts w:ascii="Arial" w:hAnsi="Arial" w:cs="Arial"/>
          <w:b/>
          <w:bCs/>
          <w:lang w:val="pt-BR"/>
        </w:rPr>
        <w:t xml:space="preserve">MODULO </w:t>
      </w:r>
      <w:r w:rsidR="00470D61">
        <w:rPr>
          <w:rFonts w:ascii="Arial" w:hAnsi="Arial" w:cs="Arial"/>
          <w:b/>
          <w:bCs/>
          <w:lang w:val="pt-BR"/>
        </w:rPr>
        <w:t>I</w:t>
      </w:r>
      <w:r>
        <w:rPr>
          <w:rFonts w:ascii="Arial" w:hAnsi="Arial" w:cs="Arial"/>
          <w:b/>
          <w:bCs/>
          <w:lang w:val="pt-BR"/>
        </w:rPr>
        <w:t>X</w:t>
      </w:r>
      <w:r w:rsidR="00470D61">
        <w:rPr>
          <w:rFonts w:ascii="Arial" w:hAnsi="Arial" w:cs="Arial"/>
          <w:lang w:val="pt-BR"/>
        </w:rPr>
        <w:t>.-</w:t>
      </w:r>
      <w:r w:rsidR="00470D61" w:rsidRPr="003F20FE">
        <w:rPr>
          <w:color w:val="000000"/>
          <w:kern w:val="1"/>
          <w:lang w:val="es-ES" w:eastAsia="ar-SA"/>
        </w:rPr>
        <w:t>Cámara de Neubauer modificada. Descripción. Diluciones. Uso y limpieza</w:t>
      </w:r>
      <w:r w:rsidR="00470D61">
        <w:rPr>
          <w:rFonts w:ascii="Arial" w:hAnsi="Arial" w:cs="Arial"/>
        </w:rPr>
        <w:t>.</w:t>
      </w:r>
    </w:p>
    <w:p w14:paraId="39D0386C" w14:textId="77777777" w:rsidR="00470D61" w:rsidRPr="003F20FE" w:rsidRDefault="003F20FE" w:rsidP="00470D61">
      <w:pPr>
        <w:pStyle w:val="NormalWeb"/>
        <w:spacing w:after="0"/>
      </w:pPr>
      <w:r>
        <w:rPr>
          <w:rFonts w:ascii="Arial" w:hAnsi="Arial" w:cs="Arial"/>
          <w:b/>
          <w:bCs/>
        </w:rPr>
        <w:t xml:space="preserve">MODULO </w:t>
      </w:r>
      <w:r w:rsidR="00470D61">
        <w:rPr>
          <w:rFonts w:ascii="Arial" w:hAnsi="Arial" w:cs="Arial"/>
          <w:b/>
          <w:bCs/>
        </w:rPr>
        <w:t>X.</w:t>
      </w:r>
      <w:r w:rsidR="00470D61">
        <w:rPr>
          <w:rFonts w:ascii="Arial" w:hAnsi="Arial" w:cs="Arial"/>
        </w:rPr>
        <w:t>-</w:t>
      </w:r>
      <w:r w:rsidR="00470D61" w:rsidRPr="003F20FE">
        <w:rPr>
          <w:color w:val="000000"/>
          <w:kern w:val="1"/>
          <w:lang w:val="es-ES" w:eastAsia="ar-SA"/>
        </w:rPr>
        <w:t>Espectrofotometría. Introducción. Leyes de Absorción. Curvas de calibración.</w:t>
      </w:r>
      <w:r>
        <w:rPr>
          <w:color w:val="000000"/>
          <w:kern w:val="1"/>
          <w:lang w:val="es-ES" w:eastAsia="ar-SA"/>
        </w:rPr>
        <w:t xml:space="preserve"> Espectrofotómetro:</w:t>
      </w:r>
      <w:r w:rsidR="00470D61" w:rsidRPr="003F20FE">
        <w:rPr>
          <w:color w:val="000000"/>
          <w:kern w:val="1"/>
          <w:lang w:val="es-ES" w:eastAsia="ar-SA"/>
        </w:rPr>
        <w:t xml:space="preserve"> </w:t>
      </w:r>
      <w:r>
        <w:rPr>
          <w:color w:val="000000"/>
          <w:kern w:val="1"/>
          <w:lang w:val="es-ES" w:eastAsia="ar-SA"/>
        </w:rPr>
        <w:t>tipos</w:t>
      </w:r>
      <w:r w:rsidR="00470D61" w:rsidRPr="003F20FE">
        <w:rPr>
          <w:color w:val="000000"/>
          <w:kern w:val="1"/>
          <w:lang w:val="es-ES" w:eastAsia="ar-SA"/>
        </w:rPr>
        <w:t>, componentes.</w:t>
      </w:r>
      <w:r>
        <w:rPr>
          <w:color w:val="000000"/>
          <w:kern w:val="1"/>
          <w:lang w:val="es-ES" w:eastAsia="ar-SA"/>
        </w:rPr>
        <w:t xml:space="preserve"> </w:t>
      </w:r>
      <w:r w:rsidR="00470D61" w:rsidRPr="003F20FE">
        <w:rPr>
          <w:color w:val="000000"/>
          <w:kern w:val="1"/>
          <w:lang w:val="es-ES" w:eastAsia="ar-SA"/>
        </w:rPr>
        <w:t xml:space="preserve">Espectrofotometría de absorción atómica. Conceptos e indicaciones de uso </w:t>
      </w:r>
      <w:proofErr w:type="spellStart"/>
      <w:r w:rsidR="00470D61" w:rsidRPr="003F20FE">
        <w:rPr>
          <w:color w:val="000000"/>
          <w:kern w:val="1"/>
          <w:lang w:val="es-ES" w:eastAsia="ar-SA"/>
        </w:rPr>
        <w:t>Fluorometría</w:t>
      </w:r>
      <w:proofErr w:type="spellEnd"/>
      <w:r w:rsidR="00470D61" w:rsidRPr="003F20FE">
        <w:rPr>
          <w:color w:val="000000"/>
          <w:kern w:val="1"/>
          <w:lang w:val="es-ES" w:eastAsia="ar-SA"/>
        </w:rPr>
        <w:t>. Principios. Instrumental. Aspectos prácticos. Absorción atómica. Nefelometría y turbidimetría. Principios Instrumental.</w:t>
      </w:r>
    </w:p>
    <w:p w14:paraId="04116174" w14:textId="77777777" w:rsidR="00470D61" w:rsidRDefault="00470D61" w:rsidP="00470D61">
      <w:pPr>
        <w:pStyle w:val="NormalWeb"/>
        <w:spacing w:after="0"/>
      </w:pPr>
    </w:p>
    <w:p w14:paraId="29D446EE" w14:textId="77777777" w:rsidR="00B46B42" w:rsidRDefault="00B46B42" w:rsidP="00B46B42">
      <w:pPr>
        <w:rPr>
          <w:b/>
          <w:bCs/>
          <w:color w:val="000000"/>
        </w:rPr>
      </w:pPr>
      <w:r w:rsidRPr="00B46B42">
        <w:rPr>
          <w:b/>
          <w:bCs/>
          <w:color w:val="000000"/>
        </w:rPr>
        <w:t>CARGA HORARIA</w:t>
      </w:r>
    </w:p>
    <w:p w14:paraId="4FB1DD3F" w14:textId="77777777" w:rsidR="00B46B42" w:rsidRDefault="003F20FE" w:rsidP="00B46B42">
      <w:pPr>
        <w:rPr>
          <w:bCs/>
          <w:color w:val="000000"/>
        </w:rPr>
      </w:pPr>
      <w:r>
        <w:rPr>
          <w:bCs/>
          <w:color w:val="000000"/>
        </w:rPr>
        <w:t>80</w:t>
      </w:r>
      <w:r w:rsidR="00B46B42" w:rsidRPr="00B46B42">
        <w:rPr>
          <w:bCs/>
          <w:color w:val="000000"/>
        </w:rPr>
        <w:t xml:space="preserve"> horas</w:t>
      </w:r>
      <w:r w:rsidR="00937197">
        <w:rPr>
          <w:bCs/>
          <w:color w:val="000000"/>
        </w:rPr>
        <w:t xml:space="preserve"> </w:t>
      </w:r>
      <w:r>
        <w:rPr>
          <w:bCs/>
          <w:color w:val="000000"/>
        </w:rPr>
        <w:t>teóricas</w:t>
      </w:r>
    </w:p>
    <w:p w14:paraId="758189FB" w14:textId="77777777" w:rsidR="003F20FE" w:rsidRDefault="003F20FE" w:rsidP="00B46B42">
      <w:pPr>
        <w:rPr>
          <w:bCs/>
          <w:color w:val="000000"/>
        </w:rPr>
      </w:pPr>
      <w:r>
        <w:rPr>
          <w:bCs/>
          <w:color w:val="000000"/>
        </w:rPr>
        <w:t>180 horas prácticas</w:t>
      </w:r>
    </w:p>
    <w:p w14:paraId="0597690F" w14:textId="77777777" w:rsidR="00937197" w:rsidRPr="00B46B42" w:rsidRDefault="00937197" w:rsidP="00B46B42">
      <w:pPr>
        <w:rPr>
          <w:bCs/>
          <w:color w:val="000000"/>
        </w:rPr>
      </w:pPr>
    </w:p>
    <w:p w14:paraId="1CA61621" w14:textId="77777777" w:rsidR="00EE733A" w:rsidRDefault="00EE733A" w:rsidP="00B46B42">
      <w:pPr>
        <w:rPr>
          <w:b/>
          <w:bCs/>
          <w:color w:val="000000"/>
        </w:rPr>
      </w:pPr>
    </w:p>
    <w:p w14:paraId="2AABB3E0" w14:textId="77777777" w:rsidR="00B46B42" w:rsidRDefault="00937197" w:rsidP="00B46B42">
      <w:pPr>
        <w:rPr>
          <w:rFonts w:ascii="Arial" w:hAnsi="Arial" w:cs="Arial"/>
          <w:b/>
          <w:bCs/>
          <w:color w:val="000000"/>
        </w:rPr>
      </w:pPr>
      <w:r w:rsidRPr="00937197">
        <w:rPr>
          <w:b/>
          <w:bCs/>
          <w:color w:val="000000"/>
        </w:rPr>
        <w:t>FORMAS DE EVALUACIÓN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937197">
        <w:rPr>
          <w:b/>
          <w:bCs/>
          <w:color w:val="000000"/>
        </w:rPr>
        <w:t>GANANCIA Y APROBACIÓN DEL CURSO</w:t>
      </w:r>
    </w:p>
    <w:p w14:paraId="18206195" w14:textId="77777777" w:rsidR="00D21886" w:rsidRDefault="00D21886" w:rsidP="003F20FE">
      <w:pPr>
        <w:pStyle w:val="NormalWeb"/>
        <w:spacing w:after="0"/>
        <w:rPr>
          <w:color w:val="000000"/>
          <w:kern w:val="1"/>
          <w:lang w:val="es-ES" w:eastAsia="ar-SA"/>
        </w:rPr>
      </w:pPr>
      <w:r>
        <w:rPr>
          <w:color w:val="000000"/>
          <w:kern w:val="1"/>
          <w:lang w:val="es-ES" w:eastAsia="ar-SA"/>
        </w:rPr>
        <w:lastRenderedPageBreak/>
        <w:t>Ganancia del curso:</w:t>
      </w:r>
    </w:p>
    <w:p w14:paraId="2D4C565D" w14:textId="77777777" w:rsidR="003F20FE" w:rsidRPr="003F20FE" w:rsidRDefault="00010DFD" w:rsidP="003F20FE">
      <w:pPr>
        <w:pStyle w:val="NormalWeb"/>
        <w:spacing w:after="0"/>
        <w:rPr>
          <w:color w:val="000000"/>
          <w:kern w:val="1"/>
          <w:lang w:val="es-ES" w:eastAsia="ar-SA"/>
        </w:rPr>
      </w:pPr>
      <w:r>
        <w:rPr>
          <w:color w:val="000000"/>
          <w:kern w:val="1"/>
          <w:lang w:val="es-ES" w:eastAsia="ar-SA"/>
        </w:rPr>
        <w:t>Se realizan</w:t>
      </w:r>
      <w:r w:rsidR="003F20FE" w:rsidRPr="003F20FE">
        <w:rPr>
          <w:color w:val="000000"/>
          <w:kern w:val="1"/>
          <w:lang w:val="es-ES" w:eastAsia="ar-SA"/>
        </w:rPr>
        <w:t xml:space="preserve"> 2 parciales a lo largo del curso, con temas a designar, con un porcentaje de aprobación cada uno</w:t>
      </w:r>
      <w:r>
        <w:rPr>
          <w:color w:val="000000"/>
          <w:kern w:val="1"/>
          <w:lang w:val="es-ES" w:eastAsia="ar-SA"/>
        </w:rPr>
        <w:t>, igual o mayor a 50%. A</w:t>
      </w:r>
      <w:r w:rsidR="003F20FE" w:rsidRPr="003F20FE">
        <w:rPr>
          <w:color w:val="000000"/>
          <w:kern w:val="1"/>
          <w:lang w:val="es-ES" w:eastAsia="ar-SA"/>
        </w:rPr>
        <w:t xml:space="preserve">sistencia </w:t>
      </w:r>
      <w:r>
        <w:rPr>
          <w:color w:val="000000"/>
          <w:kern w:val="1"/>
          <w:lang w:val="es-ES" w:eastAsia="ar-SA"/>
        </w:rPr>
        <w:t>obligatoria a</w:t>
      </w:r>
      <w:r w:rsidR="003F20FE" w:rsidRPr="003F20FE">
        <w:rPr>
          <w:color w:val="000000"/>
          <w:kern w:val="1"/>
          <w:lang w:val="es-ES" w:eastAsia="ar-SA"/>
        </w:rPr>
        <w:t xml:space="preserve"> los grupos prácticos.</w:t>
      </w:r>
    </w:p>
    <w:p w14:paraId="649A0154" w14:textId="77777777" w:rsidR="003F20FE" w:rsidRPr="003F20FE" w:rsidRDefault="003F20FE" w:rsidP="003F20FE">
      <w:pPr>
        <w:pStyle w:val="Ttulo3"/>
        <w:rPr>
          <w:rFonts w:ascii="Times New Roman" w:eastAsia="Times New Roman" w:hAnsi="Times New Roman" w:cs="Times New Roman"/>
          <w:color w:val="000000"/>
        </w:rPr>
      </w:pPr>
      <w:r w:rsidRPr="003F20FE">
        <w:rPr>
          <w:rFonts w:ascii="Times New Roman" w:eastAsia="Times New Roman" w:hAnsi="Times New Roman" w:cs="Times New Roman"/>
          <w:color w:val="000000"/>
        </w:rPr>
        <w:t xml:space="preserve">La aprobación del curso, habilita al estudiante a rendir el examen final de la asignatura. </w:t>
      </w:r>
    </w:p>
    <w:p w14:paraId="0331E1AA" w14:textId="77777777" w:rsidR="00EE733A" w:rsidRPr="003F20FE" w:rsidRDefault="00EE733A" w:rsidP="00B46B42">
      <w:pPr>
        <w:rPr>
          <w:color w:val="000000"/>
        </w:rPr>
      </w:pPr>
    </w:p>
    <w:p w14:paraId="2BAAEAAF" w14:textId="77777777" w:rsidR="00B46B42" w:rsidRPr="00937197" w:rsidRDefault="00B46B42" w:rsidP="00B46B42">
      <w:pPr>
        <w:rPr>
          <w:color w:val="000000"/>
          <w:lang w:val="pt-BR"/>
        </w:rPr>
      </w:pPr>
      <w:proofErr w:type="spellStart"/>
      <w:r w:rsidRPr="00937197">
        <w:rPr>
          <w:color w:val="000000"/>
          <w:lang w:val="pt-BR"/>
        </w:rPr>
        <w:t>Aprobación</w:t>
      </w:r>
      <w:proofErr w:type="spellEnd"/>
      <w:r w:rsidRPr="00937197">
        <w:rPr>
          <w:color w:val="000000"/>
          <w:lang w:val="pt-BR"/>
        </w:rPr>
        <w:t xml:space="preserve"> </w:t>
      </w:r>
      <w:proofErr w:type="spellStart"/>
      <w:r w:rsidRPr="00937197">
        <w:rPr>
          <w:color w:val="000000"/>
          <w:lang w:val="pt-BR"/>
        </w:rPr>
        <w:t>del</w:t>
      </w:r>
      <w:proofErr w:type="spellEnd"/>
      <w:r w:rsidRPr="00937197">
        <w:rPr>
          <w:color w:val="000000"/>
          <w:lang w:val="pt-BR"/>
        </w:rPr>
        <w:t xml:space="preserve"> curso:</w:t>
      </w:r>
    </w:p>
    <w:p w14:paraId="56FA10B2" w14:textId="77777777" w:rsidR="00B46B42" w:rsidRDefault="00B46B42" w:rsidP="00B46B42">
      <w:pPr>
        <w:rPr>
          <w:rFonts w:ascii="Arial" w:hAnsi="Arial" w:cs="Arial"/>
        </w:rPr>
      </w:pPr>
      <w:r w:rsidRPr="00937197">
        <w:rPr>
          <w:color w:val="000000"/>
          <w:lang w:val="pt-BR"/>
        </w:rPr>
        <w:t>Examen final</w:t>
      </w:r>
      <w:r w:rsidRPr="00937197">
        <w:rPr>
          <w:color w:val="000000"/>
          <w:lang w:val="pt-BR"/>
        </w:rPr>
        <w:br/>
      </w:r>
    </w:p>
    <w:p w14:paraId="525F5454" w14:textId="77777777" w:rsidR="00335ECC" w:rsidRDefault="00937197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ORGANIZACIÓN DEL CURSO</w:t>
      </w:r>
    </w:p>
    <w:p w14:paraId="2E330849" w14:textId="77777777" w:rsidR="00937197" w:rsidRDefault="00937197">
      <w:pPr>
        <w:rPr>
          <w:b/>
          <w:bCs/>
          <w:color w:val="000000"/>
        </w:rPr>
      </w:pPr>
    </w:p>
    <w:p w14:paraId="76D1B654" w14:textId="77777777" w:rsidR="00937197" w:rsidRDefault="00937197">
      <w:r>
        <w:t xml:space="preserve">Calendario </w:t>
      </w:r>
    </w:p>
    <w:p w14:paraId="664C9E3D" w14:textId="1284525E" w:rsidR="00937197" w:rsidRDefault="00010DFD">
      <w:r>
        <w:t xml:space="preserve">Fecha de inicio: </w:t>
      </w:r>
      <w:r w:rsidR="00EB313F">
        <w:t>abril</w:t>
      </w:r>
      <w:r w:rsidR="00937197">
        <w:t xml:space="preserve"> </w:t>
      </w:r>
    </w:p>
    <w:p w14:paraId="245F6F64" w14:textId="6FDFC9CA" w:rsidR="00937197" w:rsidRDefault="00937197">
      <w:r>
        <w:t>Fecha de finalización:</w:t>
      </w:r>
      <w:r w:rsidR="00010DFD">
        <w:t xml:space="preserve"> noviembre</w:t>
      </w:r>
      <w:r>
        <w:t xml:space="preserve"> </w:t>
      </w:r>
    </w:p>
    <w:p w14:paraId="7C411203" w14:textId="77777777" w:rsidR="00937197" w:rsidRDefault="00937197">
      <w:r>
        <w:t xml:space="preserve"> </w:t>
      </w:r>
    </w:p>
    <w:p w14:paraId="675CF041" w14:textId="77777777" w:rsidR="00937197" w:rsidRDefault="00937197">
      <w:r>
        <w:t xml:space="preserve">Organización general </w:t>
      </w:r>
    </w:p>
    <w:p w14:paraId="7379CE7E" w14:textId="77777777" w:rsidR="00937197" w:rsidRDefault="00937197">
      <w:r>
        <w:t xml:space="preserve">Clases: </w:t>
      </w:r>
    </w:p>
    <w:p w14:paraId="22F3B2A8" w14:textId="5C096F76" w:rsidR="00937197" w:rsidRDefault="005E150C">
      <w:r>
        <w:t xml:space="preserve">Teóricos: Modalidad virtual </w:t>
      </w:r>
    </w:p>
    <w:p w14:paraId="7A19ACAC" w14:textId="5DCDCD76" w:rsidR="00010DFD" w:rsidRPr="00937197" w:rsidRDefault="00010DFD">
      <w:pPr>
        <w:rPr>
          <w:b/>
          <w:bCs/>
          <w:color w:val="000000"/>
        </w:rPr>
      </w:pPr>
      <w:r>
        <w:t>Prácticos: salón EUTM, 2° piso Hospital de Clínicas, horarios a confirmar</w:t>
      </w:r>
    </w:p>
    <w:p w14:paraId="460233ED" w14:textId="5545E10D" w:rsidR="00335ECC" w:rsidRPr="00EE733A" w:rsidRDefault="00EE733A">
      <w:r>
        <w:t xml:space="preserve">            </w:t>
      </w:r>
      <w:r w:rsidR="005E150C">
        <w:t xml:space="preserve">    </w:t>
      </w:r>
      <w:r>
        <w:t xml:space="preserve">Días y horarios a confirmar </w:t>
      </w:r>
      <w:r w:rsidRPr="00EE733A">
        <w:t>Salón de CUP- Paysandú</w:t>
      </w:r>
      <w:r w:rsidR="00010DFD">
        <w:t>, Laboratorio Escuela Del Litoral</w:t>
      </w:r>
    </w:p>
    <w:p w14:paraId="5D8EE53C" w14:textId="77777777" w:rsidR="00EE733A" w:rsidRDefault="00EE733A">
      <w:pPr>
        <w:rPr>
          <w:b/>
          <w:bCs/>
          <w:color w:val="000000"/>
        </w:rPr>
      </w:pPr>
    </w:p>
    <w:p w14:paraId="4DFD1C57" w14:textId="77777777" w:rsidR="00335ECC" w:rsidRPr="00937197" w:rsidRDefault="00937197">
      <w:pPr>
        <w:rPr>
          <w:b/>
          <w:bCs/>
        </w:rPr>
      </w:pPr>
      <w:r w:rsidRPr="00937197">
        <w:rPr>
          <w:b/>
          <w:bCs/>
          <w:color w:val="000000"/>
        </w:rPr>
        <w:t>BIBLIOGRAFÍA:</w:t>
      </w:r>
      <w:r w:rsidRPr="00937197">
        <w:rPr>
          <w:b/>
          <w:bCs/>
        </w:rPr>
        <w:t xml:space="preserve"> </w:t>
      </w:r>
    </w:p>
    <w:p w14:paraId="023524E1" w14:textId="77777777" w:rsid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Decreto 129/05. MSP. Reglamentación de funcionamiento de los </w:t>
      </w:r>
      <w:proofErr w:type="spellStart"/>
      <w:r w:rsidRPr="00010DFD">
        <w:rPr>
          <w:kern w:val="1"/>
          <w:lang w:val="es-ES" w:eastAsia="ar-SA"/>
        </w:rPr>
        <w:t>Lab</w:t>
      </w:r>
      <w:proofErr w:type="spellEnd"/>
      <w:r w:rsidRPr="00010DFD">
        <w:rPr>
          <w:kern w:val="1"/>
          <w:lang w:val="es-ES" w:eastAsia="ar-SA"/>
        </w:rPr>
        <w:t>. Clínicos</w:t>
      </w:r>
    </w:p>
    <w:p w14:paraId="4BD47519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Decreto 586/09. MSP- MVOTMA. Gestión de residuos sólidos hospitalarios </w:t>
      </w:r>
    </w:p>
    <w:p w14:paraId="309D241D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Sistema De Gestión de calidad en el laboratorio. Organización Mundial de la Salud, 2016 </w:t>
      </w:r>
    </w:p>
    <w:p w14:paraId="177F49D3" w14:textId="77777777" w:rsid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González de Buitrago 2004 Técnicas y </w:t>
      </w:r>
      <w:proofErr w:type="spellStart"/>
      <w:r w:rsidRPr="00010DFD">
        <w:rPr>
          <w:kern w:val="1"/>
          <w:lang w:val="es-ES" w:eastAsia="ar-SA"/>
        </w:rPr>
        <w:t>Met</w:t>
      </w:r>
      <w:proofErr w:type="spellEnd"/>
      <w:r w:rsidRPr="00010DFD">
        <w:rPr>
          <w:kern w:val="1"/>
          <w:lang w:val="es-ES" w:eastAsia="ar-SA"/>
        </w:rPr>
        <w:t>. Laboratorio Clínico, 2da.Ed Masson</w:t>
      </w:r>
    </w:p>
    <w:p w14:paraId="093FDC9A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>OMS. Manual de Bioseguridad en el Laboratorio 3ra Ed. Impreso o en PDF</w:t>
      </w:r>
    </w:p>
    <w:p w14:paraId="71FEB537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CDC. Bioseguridad en </w:t>
      </w:r>
      <w:proofErr w:type="spellStart"/>
      <w:r w:rsidRPr="00010DFD">
        <w:rPr>
          <w:kern w:val="1"/>
          <w:lang w:val="es-ES" w:eastAsia="ar-SA"/>
        </w:rPr>
        <w:t>Lab</w:t>
      </w:r>
      <w:proofErr w:type="spellEnd"/>
      <w:r w:rsidRPr="00010DFD">
        <w:rPr>
          <w:kern w:val="1"/>
          <w:lang w:val="es-ES" w:eastAsia="ar-SA"/>
        </w:rPr>
        <w:t xml:space="preserve">. de Microbiología y Biomedicina 4ta. En español </w:t>
      </w:r>
    </w:p>
    <w:p w14:paraId="537B04CD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>5ta edición actualizada en Inglés PDF</w:t>
      </w:r>
    </w:p>
    <w:p w14:paraId="31741633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OPS/OMS. Salud y Seguridad de los trabajadores del sector Salud 2005 </w:t>
      </w:r>
    </w:p>
    <w:p w14:paraId="4D846151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 xml:space="preserve">Bioquímica I 1987 Dpto. </w:t>
      </w:r>
      <w:proofErr w:type="spellStart"/>
      <w:r w:rsidRPr="00010DFD">
        <w:rPr>
          <w:kern w:val="1"/>
          <w:lang w:val="es-ES" w:eastAsia="ar-SA"/>
        </w:rPr>
        <w:t>Lab</w:t>
      </w:r>
      <w:proofErr w:type="spellEnd"/>
      <w:r w:rsidRPr="00010DFD">
        <w:rPr>
          <w:kern w:val="1"/>
          <w:lang w:val="es-ES" w:eastAsia="ar-SA"/>
        </w:rPr>
        <w:t xml:space="preserve"> Clínico</w:t>
      </w:r>
    </w:p>
    <w:p w14:paraId="6A964281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>Normativas: MSP - MVOTMA.- Ministerio del Interior (Bomberos)</w:t>
      </w:r>
    </w:p>
    <w:p w14:paraId="21824627" w14:textId="77777777" w:rsidR="00010DFD" w:rsidRPr="00010DFD" w:rsidRDefault="00010DFD" w:rsidP="00010DFD">
      <w:pPr>
        <w:pStyle w:val="NormalWeb"/>
        <w:spacing w:after="0"/>
        <w:rPr>
          <w:kern w:val="1"/>
          <w:lang w:val="es-ES" w:eastAsia="ar-SA"/>
        </w:rPr>
      </w:pPr>
      <w:r w:rsidRPr="00010DFD">
        <w:rPr>
          <w:kern w:val="1"/>
          <w:lang w:val="es-ES" w:eastAsia="ar-SA"/>
        </w:rPr>
        <w:t>OPS/OMS.-Manual de Mantenimiento para equipos de laboratorio 2005</w:t>
      </w:r>
    </w:p>
    <w:p w14:paraId="1DCA003D" w14:textId="77777777" w:rsidR="00335ECC" w:rsidRPr="00010DFD" w:rsidRDefault="00335ECC"/>
    <w:sectPr w:rsidR="00335ECC" w:rsidRPr="00010DFD" w:rsidSect="00A87C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E0"/>
    <w:rsid w:val="00010DFD"/>
    <w:rsid w:val="000F1E97"/>
    <w:rsid w:val="00126999"/>
    <w:rsid w:val="00200CF7"/>
    <w:rsid w:val="00204B1F"/>
    <w:rsid w:val="00335ECC"/>
    <w:rsid w:val="003A0AFB"/>
    <w:rsid w:val="003F20FE"/>
    <w:rsid w:val="00403CA7"/>
    <w:rsid w:val="00470D61"/>
    <w:rsid w:val="00472032"/>
    <w:rsid w:val="005E150C"/>
    <w:rsid w:val="006013FA"/>
    <w:rsid w:val="006348DE"/>
    <w:rsid w:val="006966CF"/>
    <w:rsid w:val="00696B90"/>
    <w:rsid w:val="00720BDE"/>
    <w:rsid w:val="008B284B"/>
    <w:rsid w:val="00937197"/>
    <w:rsid w:val="00A57635"/>
    <w:rsid w:val="00A87CE8"/>
    <w:rsid w:val="00B25824"/>
    <w:rsid w:val="00B46B42"/>
    <w:rsid w:val="00B72075"/>
    <w:rsid w:val="00C936AF"/>
    <w:rsid w:val="00D12FE0"/>
    <w:rsid w:val="00D21886"/>
    <w:rsid w:val="00D27913"/>
    <w:rsid w:val="00E264C0"/>
    <w:rsid w:val="00E42D2A"/>
    <w:rsid w:val="00EB313F"/>
    <w:rsid w:val="00EB6764"/>
    <w:rsid w:val="00ED1CA5"/>
    <w:rsid w:val="00EE733A"/>
    <w:rsid w:val="00F177BA"/>
    <w:rsid w:val="00F2356B"/>
    <w:rsid w:val="00F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489E0"/>
  <w15:docId w15:val="{4727316C-02AD-46C1-8F3F-6DC30CE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E8"/>
    <w:pPr>
      <w:widowControl w:val="0"/>
      <w:suppressAutoHyphens/>
    </w:pPr>
    <w:rPr>
      <w:kern w:val="1"/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uiPriority w:val="99"/>
    <w:qFormat/>
    <w:rsid w:val="00A87CE8"/>
    <w:pPr>
      <w:keepNext/>
      <w:widowControl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3F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455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s-ES" w:eastAsia="ar-SA"/>
    </w:rPr>
  </w:style>
  <w:style w:type="character" w:customStyle="1" w:styleId="Absatz-Standardschriftart">
    <w:name w:val="Absatz-Standardschriftart"/>
    <w:uiPriority w:val="99"/>
    <w:rsid w:val="00A87CE8"/>
  </w:style>
  <w:style w:type="character" w:customStyle="1" w:styleId="Fuentedeprrafopredeter1">
    <w:name w:val="Fuente de párrafo predeter.1"/>
    <w:uiPriority w:val="99"/>
    <w:rsid w:val="00A87CE8"/>
  </w:style>
  <w:style w:type="character" w:customStyle="1" w:styleId="WW-Absatz-Standardschriftart">
    <w:name w:val="WW-Absatz-Standardschriftart"/>
    <w:uiPriority w:val="99"/>
    <w:rsid w:val="00A87CE8"/>
  </w:style>
  <w:style w:type="character" w:customStyle="1" w:styleId="WW-Absatz-Standardschriftart1">
    <w:name w:val="WW-Absatz-Standardschriftart1"/>
    <w:uiPriority w:val="99"/>
    <w:rsid w:val="00A87CE8"/>
  </w:style>
  <w:style w:type="character" w:customStyle="1" w:styleId="WW-Absatz-Standardschriftart11">
    <w:name w:val="WW-Absatz-Standardschriftart11"/>
    <w:uiPriority w:val="99"/>
    <w:rsid w:val="00A87CE8"/>
  </w:style>
  <w:style w:type="character" w:customStyle="1" w:styleId="Smbolosdenumeracin">
    <w:name w:val="Símbolos de numeración"/>
    <w:uiPriority w:val="99"/>
    <w:rsid w:val="00A87CE8"/>
  </w:style>
  <w:style w:type="paragraph" w:customStyle="1" w:styleId="Encabezado2">
    <w:name w:val="Encabezado2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A87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455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A87CE8"/>
    <w:rPr>
      <w:rFonts w:cs="Tahoma"/>
    </w:rPr>
  </w:style>
  <w:style w:type="paragraph" w:customStyle="1" w:styleId="Etiqueta">
    <w:name w:val="Etiqueta"/>
    <w:basedOn w:val="Normal"/>
    <w:uiPriority w:val="99"/>
    <w:rsid w:val="00A87C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87CE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xl35">
    <w:name w:val="xl35"/>
    <w:basedOn w:val="Normal"/>
    <w:uiPriority w:val="99"/>
    <w:rsid w:val="00A87C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A87CE8"/>
    <w:pPr>
      <w:widowControl/>
      <w:ind w:right="-1652"/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A0A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0D61"/>
    <w:pPr>
      <w:widowControl/>
      <w:suppressAutoHyphens w:val="0"/>
      <w:spacing w:before="100" w:beforeAutospacing="1" w:after="119"/>
    </w:pPr>
    <w:rPr>
      <w:kern w:val="0"/>
      <w:lang w:val="es-UY" w:eastAsia="es-UY"/>
    </w:rPr>
  </w:style>
  <w:style w:type="character" w:customStyle="1" w:styleId="Ttulo3Car">
    <w:name w:val="Título 3 Car"/>
    <w:basedOn w:val="Fuentedeprrafopredeter"/>
    <w:link w:val="Ttulo3"/>
    <w:semiHidden/>
    <w:rsid w:val="003F20FE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BSE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subject/>
  <dc:creator>hc hc</dc:creator>
  <cp:keywords/>
  <dc:description/>
  <cp:lastModifiedBy>Gabriela Recoba</cp:lastModifiedBy>
  <cp:revision>2</cp:revision>
  <cp:lastPrinted>2016-01-27T11:43:00Z</cp:lastPrinted>
  <dcterms:created xsi:type="dcterms:W3CDTF">2024-02-21T19:25:00Z</dcterms:created>
  <dcterms:modified xsi:type="dcterms:W3CDTF">2024-02-21T19:25:00Z</dcterms:modified>
</cp:coreProperties>
</file>