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28C1" w14:textId="38EEA275" w:rsidR="00E73E5E" w:rsidRDefault="00E73E5E" w:rsidP="00E73E5E">
      <w:pPr>
        <w:ind w:left="709" w:firstLine="709"/>
        <w:rPr>
          <w:rFonts w:ascii="Arial" w:hAnsi="Arial" w:cs="Arial"/>
          <w:b/>
          <w:bCs/>
        </w:rPr>
      </w:pPr>
      <w:r>
        <w:rPr>
          <w:noProof/>
          <w:lang w:eastAsia="es-UY"/>
        </w:rPr>
        <w:drawing>
          <wp:inline distT="0" distB="0" distL="0" distR="0" wp14:anchorId="35DB3AD8" wp14:editId="25AABEBD">
            <wp:extent cx="4848225" cy="876300"/>
            <wp:effectExtent l="0" t="0" r="9525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14A714" w14:textId="77777777" w:rsidR="00E73E5E" w:rsidRDefault="00E73E5E" w:rsidP="00E73E5E">
      <w:pPr>
        <w:rPr>
          <w:rFonts w:ascii="Arial" w:hAnsi="Arial" w:cs="Arial"/>
          <w:b/>
          <w:bCs/>
        </w:rPr>
      </w:pPr>
    </w:p>
    <w:p w14:paraId="5BE756C8" w14:textId="42F8D51E" w:rsidR="00E73E5E" w:rsidRDefault="00E73E5E" w:rsidP="00E73E5E">
      <w:pPr>
        <w:ind w:left="709" w:firstLine="709"/>
        <w:jc w:val="center"/>
        <w:rPr>
          <w:rFonts w:ascii="Arial" w:hAnsi="Arial" w:cs="Arial"/>
          <w:b/>
          <w:bCs/>
        </w:rPr>
      </w:pPr>
      <w:r w:rsidRPr="00C74CE3">
        <w:rPr>
          <w:rFonts w:ascii="Arial" w:hAnsi="Arial" w:cs="Arial"/>
          <w:b/>
          <w:bCs/>
        </w:rPr>
        <w:t xml:space="preserve">PROGRAMA DE CURSO </w:t>
      </w:r>
      <w:r>
        <w:rPr>
          <w:rFonts w:ascii="Arial" w:hAnsi="Arial" w:cs="Arial"/>
          <w:b/>
          <w:bCs/>
        </w:rPr>
        <w:t>HEMATOLOGÍA</w:t>
      </w:r>
      <w:r w:rsidRPr="00C74CE3">
        <w:rPr>
          <w:rFonts w:ascii="Arial" w:hAnsi="Arial" w:cs="Arial"/>
          <w:b/>
          <w:bCs/>
        </w:rPr>
        <w:t xml:space="preserve"> TEORICO</w:t>
      </w:r>
    </w:p>
    <w:p w14:paraId="18520B16" w14:textId="22641E1F" w:rsidR="00E73E5E" w:rsidRPr="00C74CE3" w:rsidRDefault="00E73E5E" w:rsidP="00E73E5E">
      <w:pPr>
        <w:ind w:left="709"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2024</w:t>
      </w:r>
    </w:p>
    <w:p w14:paraId="71904E97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>Carrera</w:t>
      </w:r>
      <w:r w:rsidRPr="00E73E5E">
        <w:rPr>
          <w:rFonts w:ascii="Arial" w:hAnsi="Arial" w:cs="Arial"/>
          <w:noProof/>
          <w:lang w:eastAsia="es-UY"/>
        </w:rPr>
        <w:t xml:space="preserve">: LICENCIATURA EN LABORATORIO CLÍNICO  </w:t>
      </w:r>
    </w:p>
    <w:p w14:paraId="6E97D30A" w14:textId="232A36A2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>Curso:</w:t>
      </w:r>
      <w:r w:rsidRPr="00E73E5E">
        <w:rPr>
          <w:rFonts w:ascii="Arial" w:hAnsi="Arial" w:cs="Arial"/>
          <w:noProof/>
          <w:lang w:eastAsia="es-UY"/>
        </w:rPr>
        <w:t xml:space="preserve"> HEMATOLOGÍA CLÍNICA TEÓRICO (programa correspondiente al año lectivo 202</w:t>
      </w:r>
      <w:r w:rsidR="00431A1D">
        <w:rPr>
          <w:rFonts w:ascii="Arial" w:hAnsi="Arial" w:cs="Arial"/>
          <w:noProof/>
          <w:lang w:eastAsia="es-UY"/>
        </w:rPr>
        <w:t>4</w:t>
      </w:r>
      <w:r w:rsidRPr="00E73E5E">
        <w:rPr>
          <w:rFonts w:ascii="Arial" w:hAnsi="Arial" w:cs="Arial"/>
          <w:noProof/>
          <w:lang w:eastAsia="es-UY"/>
        </w:rPr>
        <w:t xml:space="preserve">) </w:t>
      </w:r>
    </w:p>
    <w:p w14:paraId="2C09F731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 </w:t>
      </w:r>
      <w:r w:rsidRPr="00E73E5E">
        <w:rPr>
          <w:rFonts w:ascii="Arial" w:hAnsi="Arial" w:cs="Arial"/>
          <w:b/>
          <w:bCs/>
          <w:noProof/>
          <w:lang w:eastAsia="es-UY"/>
        </w:rPr>
        <w:t>UBICACIÓN CURRICULAR Y PREVIATURAS</w:t>
      </w:r>
      <w:r w:rsidRPr="00E73E5E">
        <w:rPr>
          <w:rFonts w:ascii="Arial" w:hAnsi="Arial" w:cs="Arial"/>
          <w:noProof/>
          <w:lang w:eastAsia="es-UY"/>
        </w:rPr>
        <w:t xml:space="preserve">  Corresponde al primer semestre del segundo año. Previaturas, según reglamento vigente. </w:t>
      </w:r>
    </w:p>
    <w:p w14:paraId="0D0CD0B6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 </w:t>
      </w:r>
      <w:r w:rsidRPr="00E73E5E">
        <w:rPr>
          <w:rFonts w:ascii="Arial" w:hAnsi="Arial" w:cs="Arial"/>
          <w:b/>
          <w:bCs/>
          <w:noProof/>
          <w:lang w:eastAsia="es-UY"/>
        </w:rPr>
        <w:t>EQUIPO DOCENTE A CARGO</w:t>
      </w:r>
      <w:r w:rsidRPr="00E73E5E">
        <w:rPr>
          <w:rFonts w:ascii="Arial" w:hAnsi="Arial" w:cs="Arial"/>
          <w:noProof/>
          <w:lang w:eastAsia="es-UY"/>
        </w:rPr>
        <w:t xml:space="preserve"> </w:t>
      </w:r>
    </w:p>
    <w:p w14:paraId="254B4890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 Asist. Lic. Sebastián De Los Santos</w:t>
      </w:r>
    </w:p>
    <w:p w14:paraId="27FACC3F" w14:textId="6FF072DA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 Asist. </w:t>
      </w:r>
      <w:r>
        <w:rPr>
          <w:rFonts w:ascii="Arial" w:hAnsi="Arial" w:cs="Arial"/>
          <w:noProof/>
          <w:lang w:eastAsia="es-UY"/>
        </w:rPr>
        <w:t>BC Carla Palermo</w:t>
      </w:r>
      <w:r w:rsidRPr="00E73E5E">
        <w:rPr>
          <w:rFonts w:ascii="Arial" w:hAnsi="Arial" w:cs="Arial"/>
          <w:noProof/>
          <w:lang w:eastAsia="es-UY"/>
        </w:rPr>
        <w:t xml:space="preserve">  </w:t>
      </w:r>
    </w:p>
    <w:p w14:paraId="5278311D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 xml:space="preserve"> FUNDAMENTACIÓN Y OBJETIVOS GENERALES</w:t>
      </w:r>
      <w:r w:rsidRPr="00E73E5E">
        <w:rPr>
          <w:rFonts w:ascii="Arial" w:hAnsi="Arial" w:cs="Arial"/>
          <w:noProof/>
          <w:lang w:eastAsia="es-UY"/>
        </w:rPr>
        <w:t xml:space="preserve">: </w:t>
      </w:r>
    </w:p>
    <w:p w14:paraId="34BBA1D3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Hematología abarca el estudio de la sangre en sus aspectos fisicoquímicos, químicos, morfológicos, fisiológicos y patológicos.  </w:t>
      </w:r>
    </w:p>
    <w:p w14:paraId="5F6DFD83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Objetivo general: dar una visión global e integrada de los aspectos normales y patológicos de la sangre, así como el conocimiento profundo de las distintas metodologías de estudio empleadas. Logros esperados: comprender la morfología y fisiología normal de la sangre, interpretar fisiopatológicamente sus alteraciones.  Conocimiento químico fisiológico del proceso de hemostasis Dominio de las metodologías de estudio. </w:t>
      </w:r>
    </w:p>
    <w:p w14:paraId="2D75D471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 xml:space="preserve"> METODOLOGÍAS DE ENSEÑANZA</w:t>
      </w:r>
      <w:r w:rsidRPr="00E73E5E">
        <w:rPr>
          <w:rFonts w:ascii="Arial" w:hAnsi="Arial" w:cs="Arial"/>
          <w:noProof/>
          <w:lang w:eastAsia="es-UY"/>
        </w:rPr>
        <w:t xml:space="preserve">  </w:t>
      </w:r>
    </w:p>
    <w:p w14:paraId="20E35F4D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El curso se desarrollará en forma virtual desde la plataforma EVA, mediante clases teóricas y actividades en la misma. Los parciales y examen final se realizarán en forma virtual en la misma plataforma del curso. </w:t>
      </w:r>
    </w:p>
    <w:p w14:paraId="5BCB4CFB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>CONTENIDOS TEMÁTICOS</w:t>
      </w:r>
      <w:r w:rsidRPr="00E73E5E">
        <w:rPr>
          <w:rFonts w:ascii="Arial" w:hAnsi="Arial" w:cs="Arial"/>
          <w:noProof/>
          <w:lang w:eastAsia="es-UY"/>
        </w:rPr>
        <w:t xml:space="preserve">  </w:t>
      </w:r>
    </w:p>
    <w:p w14:paraId="5AC15C94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>MÓDULO 1 HEMATOPOYESIS</w:t>
      </w:r>
      <w:r w:rsidRPr="00E73E5E">
        <w:rPr>
          <w:rFonts w:ascii="Arial" w:hAnsi="Arial" w:cs="Arial"/>
          <w:noProof/>
          <w:lang w:eastAsia="es-UY"/>
        </w:rPr>
        <w:t xml:space="preserve">, nociones anatomo funcionales de la médula ósea, origen y características morfológicas de los elementos en la mielopoyesis, linfopoyesis y su función. Órganos linfoides primarios y secundarios.  Nociones funcionales y morfología de las células linfoides.  </w:t>
      </w:r>
    </w:p>
    <w:p w14:paraId="53A45073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>MÓDULO 2 ERITROCITO</w:t>
      </w:r>
      <w:r w:rsidRPr="00E73E5E">
        <w:rPr>
          <w:rFonts w:ascii="Arial" w:hAnsi="Arial" w:cs="Arial"/>
          <w:noProof/>
          <w:lang w:eastAsia="es-UY"/>
        </w:rPr>
        <w:t xml:space="preserve">, estructura y funciones. Eritrocitos. Morfología y fisiología eritrocitaria. Estructura y función de la membrana eritrocitaria. Valores de referencia en la población adulta e infantil. HEMOGLOBINA, síntesis, estructura molecular, funciones, curva de disociación. Métodos de determinación cuantitativa.  </w:t>
      </w:r>
    </w:p>
    <w:p w14:paraId="19063BC5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>MÓDULO 3 LEUCOCITOS</w:t>
      </w:r>
      <w:r w:rsidRPr="00E73E5E">
        <w:rPr>
          <w:rFonts w:ascii="Arial" w:hAnsi="Arial" w:cs="Arial"/>
          <w:noProof/>
          <w:lang w:eastAsia="es-UY"/>
        </w:rPr>
        <w:t xml:space="preserve">, morfología y fisiología. Fórmula leucocitaria normal. Nociones de sistema inmune.   </w:t>
      </w:r>
    </w:p>
    <w:p w14:paraId="03039786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lastRenderedPageBreak/>
        <w:t>MÓDULO 4 PLAQUETAS</w:t>
      </w:r>
      <w:r w:rsidRPr="00E73E5E">
        <w:rPr>
          <w:rFonts w:ascii="Arial" w:hAnsi="Arial" w:cs="Arial"/>
          <w:noProof/>
          <w:lang w:eastAsia="es-UY"/>
        </w:rPr>
        <w:t xml:space="preserve">, estructura y función.   </w:t>
      </w:r>
    </w:p>
    <w:p w14:paraId="023CD899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>MÓDULO 5 HEMATIMETRÍA,</w:t>
      </w:r>
      <w:r w:rsidRPr="00E73E5E">
        <w:rPr>
          <w:rFonts w:ascii="Arial" w:hAnsi="Arial" w:cs="Arial"/>
          <w:noProof/>
          <w:lang w:eastAsia="es-UY"/>
        </w:rPr>
        <w:t xml:space="preserve"> aspectos preanalíticos, analíticos y post analíticos. Principios de instrumentación, distintas metodologías en autoanalizadores y métodos manuales aceptados por la OMS. Parámetros medidos y calculados, índices hematimétricos.   </w:t>
      </w:r>
    </w:p>
    <w:p w14:paraId="12F98A99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>MÓDULO 6 RETICULOCITOS</w:t>
      </w:r>
      <w:r w:rsidRPr="00E73E5E">
        <w:rPr>
          <w:rFonts w:ascii="Arial" w:hAnsi="Arial" w:cs="Arial"/>
          <w:noProof/>
          <w:lang w:eastAsia="es-UY"/>
        </w:rPr>
        <w:t xml:space="preserve">, técnicas de estudio manual y automáticas, causas de error. RECUENTO DE LEUCOCITOS MANUAL, cámara de Neubauer, causas de error. </w:t>
      </w:r>
    </w:p>
    <w:p w14:paraId="57096FE1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VELOCIDAD DE ERITROSEDIMENTACIÓN, viscosidad sanguínea, métodos de estudio. Valores normales. </w:t>
      </w:r>
    </w:p>
    <w:p w14:paraId="056CF6BB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CONFECCIÓN DE FROTIS SANGUÍNEO Y SU COLORACIÓN, recuento diferencial leucocitario al microscopio óptico, criterios de realización de láminas. Valores de referencia. Causas de error.   </w:t>
      </w:r>
    </w:p>
    <w:p w14:paraId="4357DF81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>MÓDULO 7 PATOLOGÍA ERITROCITARIA, ANEMIAS</w:t>
      </w:r>
      <w:r w:rsidRPr="00E73E5E">
        <w:rPr>
          <w:rFonts w:ascii="Arial" w:hAnsi="Arial" w:cs="Arial"/>
          <w:noProof/>
          <w:lang w:eastAsia="es-UY"/>
        </w:rPr>
        <w:t xml:space="preserve">:  Anemia y policitemia. Definición y Concepto. Fisiopatología y cuadro clínico. </w:t>
      </w:r>
    </w:p>
    <w:p w14:paraId="5EC34740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Diagnóstico por el laboratorio. Clasificación (morfológica y fisiopatológica) </w:t>
      </w:r>
    </w:p>
    <w:p w14:paraId="52DD8E79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A) Anemias carenciales. Estudio por el laboratorio. Diagnóstico diferencial. </w:t>
      </w:r>
    </w:p>
    <w:p w14:paraId="267E227C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B) Anemias hemolíticas. Definición y concepto. Estudio por el laboratorio. Anemias hemolíticas hereditarias y adquiridas. </w:t>
      </w:r>
    </w:p>
    <w:p w14:paraId="535E9D2D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C) Enfermedad hemolítica del recién nacido. </w:t>
      </w:r>
    </w:p>
    <w:p w14:paraId="4AA14F5F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D) Falla medular. Aplasia e hipoplasia medular. Síndromes mielodisplásicos. Anemias de las enfermedades crónicas. Anemias de los padecimientos no hematológicos. </w:t>
      </w:r>
    </w:p>
    <w:p w14:paraId="1840E99D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E) Policitemia y poliglobulia. </w:t>
      </w:r>
    </w:p>
    <w:p w14:paraId="288D977C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 </w:t>
      </w:r>
      <w:r w:rsidRPr="00E73E5E">
        <w:rPr>
          <w:rFonts w:ascii="Arial" w:hAnsi="Arial" w:cs="Arial"/>
          <w:b/>
          <w:bCs/>
          <w:noProof/>
          <w:lang w:eastAsia="es-UY"/>
        </w:rPr>
        <w:t>MÓDULO 8 HEMOGLOBINOPATÍAS</w:t>
      </w:r>
      <w:r w:rsidRPr="00E73E5E">
        <w:rPr>
          <w:rFonts w:ascii="Arial" w:hAnsi="Arial" w:cs="Arial"/>
          <w:noProof/>
          <w:lang w:eastAsia="es-UY"/>
        </w:rPr>
        <w:t xml:space="preserve">, Hemoglobinopatías. Definición. Clasificación. Talasemias.  </w:t>
      </w:r>
    </w:p>
    <w:p w14:paraId="2541816B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>MÓDULO 9 METODOLOGÍAS DIAGNÓSTICAS</w:t>
      </w:r>
      <w:r w:rsidRPr="00E73E5E">
        <w:rPr>
          <w:rFonts w:ascii="Arial" w:hAnsi="Arial" w:cs="Arial"/>
          <w:noProof/>
          <w:lang w:eastAsia="es-UY"/>
        </w:rPr>
        <w:t xml:space="preserve"> en hematología: citometría de flujo, técnicas de biología molecular, citogenética, cultivo celular. Nociones básicas y su valor en diferentes patologías.  </w:t>
      </w:r>
    </w:p>
    <w:p w14:paraId="18A14905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>MÓDULO 10 HEMOSTASIS, FISIOLOGÍA</w:t>
      </w:r>
      <w:r w:rsidRPr="00E73E5E">
        <w:rPr>
          <w:rFonts w:ascii="Arial" w:hAnsi="Arial" w:cs="Arial"/>
          <w:noProof/>
          <w:lang w:eastAsia="es-UY"/>
        </w:rPr>
        <w:t xml:space="preserve">. Cascada de la coagulación clásica (Vía intrínseca, Vía extrínseca y Vía final común) y modelo celular. Factores plasmáticos y celulares involucrados. Factores de la coagulación. Fibrinólisis. Mecanismos reguladores de la hemostasis y fibrinólisis (Inhibidores fisiológicos)  </w:t>
      </w:r>
    </w:p>
    <w:p w14:paraId="4D74B3DA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>MÓDULO 11 HEMOSTASIS, MÉTODOS DE ESTUDIO</w:t>
      </w:r>
      <w:r w:rsidRPr="00E73E5E">
        <w:rPr>
          <w:rFonts w:ascii="Arial" w:hAnsi="Arial" w:cs="Arial"/>
          <w:noProof/>
          <w:lang w:eastAsia="es-UY"/>
        </w:rPr>
        <w:t xml:space="preserve">, importancia de la etapa preanalítica. Estudio de la hemostasis primaria, secundaria y fibrinólisis. Crasis sanguínea básica (Tiempo de protrombina, Tiempo de tromboplastina parcial activado, Tiempo de trombina, Dosificación de fibrinógeno). Hemostasis especializada (Dosificación de factores e investigación de inhibidores fisiológicos y adquiridos de la coagulación) </w:t>
      </w:r>
    </w:p>
    <w:p w14:paraId="40961888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 </w:t>
      </w:r>
      <w:r w:rsidRPr="00E73E5E">
        <w:rPr>
          <w:rFonts w:ascii="Arial" w:hAnsi="Arial" w:cs="Arial"/>
          <w:b/>
          <w:bCs/>
          <w:noProof/>
          <w:lang w:eastAsia="es-UY"/>
        </w:rPr>
        <w:t>MÓDULO 12 TRASTORNOS DE LA COAGULACIÓN</w:t>
      </w:r>
      <w:r w:rsidRPr="00E73E5E">
        <w:rPr>
          <w:rFonts w:ascii="Arial" w:hAnsi="Arial" w:cs="Arial"/>
          <w:noProof/>
          <w:lang w:eastAsia="es-UY"/>
        </w:rPr>
        <w:t xml:space="preserve">, Trastornos hemorrágicos adquiridos (CID, diátesis hemorrágica de las hepatopatías, deficiencia de vitamina K y complicaciones del tratamiento con dicumarínicos). Clínica y diagnóstico por el </w:t>
      </w:r>
      <w:r w:rsidRPr="00E73E5E">
        <w:rPr>
          <w:rFonts w:ascii="Arial" w:hAnsi="Arial" w:cs="Arial"/>
          <w:noProof/>
          <w:lang w:eastAsia="es-UY"/>
        </w:rPr>
        <w:lastRenderedPageBreak/>
        <w:t xml:space="preserve">laboratorio. Trastornos hemorrágicos hereditarios. Hemofilia A y B. Enfermedad de Von Willebrand. Deficiencias de factores de la coagulación. Clínica y diagnóstico por el laboratorio. Investigación de inhibidores adquiridos anti-factor VIII, IX y FvW. Estados hereditarios de hipercoagulabilidad. Trombosis y trombofilia. Estados adquiridos de hipercoagulabilidad. Síndrome Antifosfolipídico. Criterios clínicos y de laboratorio. Enfermedad tromboembólica venosa (ETEV) </w:t>
      </w:r>
    </w:p>
    <w:p w14:paraId="502B6433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 </w:t>
      </w:r>
      <w:r w:rsidRPr="00E73E5E">
        <w:rPr>
          <w:rFonts w:ascii="Arial" w:hAnsi="Arial" w:cs="Arial"/>
          <w:b/>
          <w:bCs/>
          <w:noProof/>
          <w:lang w:eastAsia="es-UY"/>
        </w:rPr>
        <w:t>MÓDULO 13 SINDROME MONONUCLEÓSICO</w:t>
      </w:r>
      <w:r w:rsidRPr="00E73E5E">
        <w:rPr>
          <w:rFonts w:ascii="Arial" w:hAnsi="Arial" w:cs="Arial"/>
          <w:noProof/>
          <w:lang w:eastAsia="es-UY"/>
        </w:rPr>
        <w:t xml:space="preserve">, Concepto clínico. Su expresión en el hemograma y lámina periférica. Mononucleosis infecciosa y otras etiologías: virales, bacterianas, parasitarias.    </w:t>
      </w:r>
    </w:p>
    <w:p w14:paraId="13D2AA10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>MÓDULO 14 GAMMAPATÍAS MONOCLONALES</w:t>
      </w:r>
      <w:r w:rsidRPr="00E73E5E">
        <w:rPr>
          <w:rFonts w:ascii="Arial" w:hAnsi="Arial" w:cs="Arial"/>
          <w:noProof/>
          <w:lang w:eastAsia="es-UY"/>
        </w:rPr>
        <w:t xml:space="preserve">: (Mieloma Múltiple, Macroglobulinemia de Waldeström, MGUS).  Concepto clínico. Su expresión en el hemograma y lámina periférica.  </w:t>
      </w:r>
    </w:p>
    <w:p w14:paraId="1E52939B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>MÓDULO 15 SINDROMES LINFOPROLIFERATIVOS CRÓNICOS (SLPC) Y SINDROMES MIELOPROLIFERATIVOS CRÓNICOS (SMPC).</w:t>
      </w:r>
      <w:r w:rsidRPr="00E73E5E">
        <w:rPr>
          <w:rFonts w:ascii="Arial" w:hAnsi="Arial" w:cs="Arial"/>
          <w:noProof/>
          <w:lang w:eastAsia="es-UY"/>
        </w:rPr>
        <w:t xml:space="preserve">  Síndromes Linfoproliferativos Crónicos (LLC, Leucemia Prolinfocítica Crónica, Tricoleucemia, Síndrome de Sezary) Linfomas (LH, LNH, Linfoma de manto y otros) Síndromes Mieloproliferativos Crónicos (LMC, Policitemia Vera, Trombocitemia esencial, Mielofibrosis primaria) Clínica, expresión en el hemograma, citología, inmunofenotipaje y citogenética.  </w:t>
      </w:r>
    </w:p>
    <w:p w14:paraId="3F7A6C6A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>MÓDULO 16 LEUCEMIAS AGUDAS</w:t>
      </w:r>
      <w:r w:rsidRPr="00E73E5E">
        <w:rPr>
          <w:rFonts w:ascii="Arial" w:hAnsi="Arial" w:cs="Arial"/>
          <w:noProof/>
          <w:lang w:eastAsia="es-UY"/>
        </w:rPr>
        <w:t xml:space="preserve">, Leucemia Linfoide y Mieloide agudas. Definición, clínica y clasificación FAB y OMS. Diagnóstico por el laboratorio. Casos clínicos. Importancia del laboratorio ante debuts Hemato-oncológicos  </w:t>
      </w:r>
    </w:p>
    <w:p w14:paraId="05F3F882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>MÓDULO 17 LIQUIDOS DE CAVIDADES SEROSAS,</w:t>
      </w:r>
      <w:r w:rsidRPr="00E73E5E">
        <w:rPr>
          <w:rFonts w:ascii="Arial" w:hAnsi="Arial" w:cs="Arial"/>
          <w:noProof/>
          <w:lang w:eastAsia="es-UY"/>
        </w:rPr>
        <w:t xml:space="preserve"> Pleural, Pericárdico, Peritoneal. Estudio químico y citológico  </w:t>
      </w:r>
    </w:p>
    <w:p w14:paraId="0DEDC91A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>MÓDULO 18 CONTROL DE CALIDAD EN HEMATOLOGÍA.</w:t>
      </w:r>
      <w:r w:rsidRPr="00E73E5E">
        <w:rPr>
          <w:rFonts w:ascii="Arial" w:hAnsi="Arial" w:cs="Arial"/>
          <w:noProof/>
          <w:lang w:eastAsia="es-UY"/>
        </w:rPr>
        <w:t xml:space="preserve"> </w:t>
      </w:r>
    </w:p>
    <w:p w14:paraId="5CAB23B6" w14:textId="77777777" w:rsidR="00E73E5E" w:rsidRDefault="00E73E5E">
      <w:pPr>
        <w:rPr>
          <w:rFonts w:ascii="Arial" w:hAnsi="Arial" w:cs="Arial"/>
          <w:noProof/>
          <w:lang w:eastAsia="es-UY"/>
        </w:rPr>
      </w:pPr>
    </w:p>
    <w:p w14:paraId="3B79E9ED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b/>
          <w:bCs/>
          <w:noProof/>
          <w:lang w:eastAsia="es-UY"/>
        </w:rPr>
        <w:t xml:space="preserve">  FORMAS DE EVALUACIÓN, GANANCIA Y APROBACIÓN DEL CURSO</w:t>
      </w:r>
      <w:r w:rsidRPr="00E73E5E">
        <w:rPr>
          <w:rFonts w:ascii="Arial" w:hAnsi="Arial" w:cs="Arial"/>
          <w:noProof/>
          <w:lang w:eastAsia="es-UY"/>
        </w:rPr>
        <w:t xml:space="preserve">  </w:t>
      </w:r>
    </w:p>
    <w:p w14:paraId="094D6238" w14:textId="77777777" w:rsidR="00431A1D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u w:val="single"/>
          <w:lang w:eastAsia="es-UY"/>
        </w:rPr>
        <w:t>Ganancia del curso</w:t>
      </w:r>
      <w:r w:rsidRPr="00E73E5E">
        <w:rPr>
          <w:rFonts w:ascii="Arial" w:hAnsi="Arial" w:cs="Arial"/>
          <w:noProof/>
          <w:lang w:eastAsia="es-UY"/>
        </w:rPr>
        <w:t xml:space="preserve">:   El curso se aprueba con dos parciales que se realizan a lo largo del semestre, sobre temas a designar. </w:t>
      </w:r>
    </w:p>
    <w:p w14:paraId="33398F47" w14:textId="05AE4302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Para aprobar, el promedio de ambos parciales debe ser de al menos 50 %, no obteniendo en ninguno de los dos parciales menos del 40%.  </w:t>
      </w:r>
    </w:p>
    <w:p w14:paraId="4AFF36B0" w14:textId="4F0FFBBE" w:rsidR="00E73E5E" w:rsidRDefault="00E73E5E">
      <w:pPr>
        <w:rPr>
          <w:rFonts w:ascii="Arial" w:hAnsi="Arial" w:cs="Arial"/>
          <w:noProof/>
          <w:lang w:eastAsia="es-UY"/>
        </w:rPr>
      </w:pPr>
      <w:r w:rsidRPr="00431A1D">
        <w:rPr>
          <w:rFonts w:ascii="Arial" w:hAnsi="Arial" w:cs="Arial"/>
          <w:noProof/>
          <w:u w:val="single"/>
          <w:lang w:eastAsia="es-UY"/>
        </w:rPr>
        <w:t>Aprobación del curso</w:t>
      </w:r>
      <w:r w:rsidRPr="00E73E5E">
        <w:rPr>
          <w:rFonts w:ascii="Arial" w:hAnsi="Arial" w:cs="Arial"/>
          <w:noProof/>
          <w:lang w:eastAsia="es-UY"/>
        </w:rPr>
        <w:t xml:space="preserve">: Examen final  </w:t>
      </w:r>
    </w:p>
    <w:p w14:paraId="60FA8C28" w14:textId="77777777" w:rsidR="00E73E5E" w:rsidRDefault="00E73E5E">
      <w:pPr>
        <w:rPr>
          <w:rFonts w:ascii="Arial" w:hAnsi="Arial" w:cs="Arial"/>
          <w:noProof/>
          <w:lang w:eastAsia="es-UY"/>
        </w:rPr>
      </w:pPr>
    </w:p>
    <w:p w14:paraId="4EC6F5CE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 BIBLIOGRAFÍA RECOMENDADA   </w:t>
      </w:r>
    </w:p>
    <w:p w14:paraId="0D51B112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>►Hematología Clínica – J. Sans Sabrafen</w:t>
      </w:r>
    </w:p>
    <w:p w14:paraId="10158A0A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 ►Hematología fundamentos y aplicaciones clínicas. Bernadette F. Rodak. Ed. Panamericana </w:t>
      </w:r>
    </w:p>
    <w:p w14:paraId="06CAF98A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►Manual de Técnicas en Hematología. Joan Luis Corrons, Josep Luis Aguilar Bascompte, Barcelona, 2006 </w:t>
      </w:r>
    </w:p>
    <w:p w14:paraId="61DFA4B4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►Atlas de Hematología Clínica. Rodak. Ed. Panamericana. </w:t>
      </w:r>
    </w:p>
    <w:p w14:paraId="34627EE6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lastRenderedPageBreak/>
        <w:t xml:space="preserve">►Hematología. Fisiopatología y Diagnóstico, Iván Palomo G., Jaime Pereira G., Julia Palma B. EDITORIAL UNIVERSIDAD DE TALCA Colección E-BOOK </w:t>
      </w:r>
    </w:p>
    <w:p w14:paraId="580FB901" w14:textId="77777777" w:rsid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>►Lo Esencial en Hematología e Inmunología, Horton, Shiach, Helbert, Gargani, Barcelona, Elsevier, 2013.</w:t>
      </w:r>
    </w:p>
    <w:p w14:paraId="52D7F991" w14:textId="41AAFF44" w:rsidR="00864C6F" w:rsidRPr="00E73E5E" w:rsidRDefault="00E73E5E">
      <w:pPr>
        <w:rPr>
          <w:rFonts w:ascii="Arial" w:hAnsi="Arial" w:cs="Arial"/>
          <w:noProof/>
          <w:lang w:eastAsia="es-UY"/>
        </w:rPr>
      </w:pPr>
      <w:r w:rsidRPr="00E73E5E">
        <w:rPr>
          <w:rFonts w:ascii="Arial" w:hAnsi="Arial" w:cs="Arial"/>
          <w:noProof/>
          <w:lang w:eastAsia="es-UY"/>
        </w:rPr>
        <w:t xml:space="preserve"> ►Fundamentos de Hematología, Ruiz Arguelles, Ruiz Delgado, 5ed Editorial Médica Panamericana, versión electrónica  </w:t>
      </w:r>
    </w:p>
    <w:p w14:paraId="4EC8B9D4" w14:textId="03FC41A3" w:rsidR="00CA2337" w:rsidRPr="00E73E5E" w:rsidRDefault="00CA2337" w:rsidP="00E73E5E">
      <w:pPr>
        <w:pStyle w:val="NormalWeb"/>
        <w:rPr>
          <w:rFonts w:ascii="Arial" w:hAnsi="Arial" w:cs="Arial"/>
          <w:color w:val="000000"/>
          <w:sz w:val="27"/>
          <w:szCs w:val="27"/>
        </w:rPr>
      </w:pPr>
    </w:p>
    <w:sectPr w:rsidR="00CA2337" w:rsidRPr="00E73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268B0"/>
    <w:multiLevelType w:val="hybridMultilevel"/>
    <w:tmpl w:val="72D4A60A"/>
    <w:lvl w:ilvl="0" w:tplc="A784F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6F"/>
    <w:rsid w:val="0003545D"/>
    <w:rsid w:val="0005097C"/>
    <w:rsid w:val="000853E9"/>
    <w:rsid w:val="0015132D"/>
    <w:rsid w:val="00153B26"/>
    <w:rsid w:val="00164FC9"/>
    <w:rsid w:val="00165821"/>
    <w:rsid w:val="001959F3"/>
    <w:rsid w:val="001E438A"/>
    <w:rsid w:val="001F2515"/>
    <w:rsid w:val="00203DA9"/>
    <w:rsid w:val="00215BDB"/>
    <w:rsid w:val="00216039"/>
    <w:rsid w:val="00216336"/>
    <w:rsid w:val="00224AA5"/>
    <w:rsid w:val="00233C93"/>
    <w:rsid w:val="00261372"/>
    <w:rsid w:val="00296E8C"/>
    <w:rsid w:val="002C525D"/>
    <w:rsid w:val="002D0CDC"/>
    <w:rsid w:val="002E05EC"/>
    <w:rsid w:val="002E32EA"/>
    <w:rsid w:val="00326A57"/>
    <w:rsid w:val="00332C07"/>
    <w:rsid w:val="00350B09"/>
    <w:rsid w:val="00373FA3"/>
    <w:rsid w:val="003B1F1F"/>
    <w:rsid w:val="003C00B6"/>
    <w:rsid w:val="003E40FB"/>
    <w:rsid w:val="00431A1D"/>
    <w:rsid w:val="00461D22"/>
    <w:rsid w:val="00483279"/>
    <w:rsid w:val="0048420D"/>
    <w:rsid w:val="004920B9"/>
    <w:rsid w:val="004971B8"/>
    <w:rsid w:val="004C7306"/>
    <w:rsid w:val="004D26C7"/>
    <w:rsid w:val="004D7285"/>
    <w:rsid w:val="00517988"/>
    <w:rsid w:val="00560021"/>
    <w:rsid w:val="005868F3"/>
    <w:rsid w:val="005D6D6C"/>
    <w:rsid w:val="005E063D"/>
    <w:rsid w:val="005F4211"/>
    <w:rsid w:val="0060685C"/>
    <w:rsid w:val="006113F6"/>
    <w:rsid w:val="006532D7"/>
    <w:rsid w:val="00653FFD"/>
    <w:rsid w:val="00662DF2"/>
    <w:rsid w:val="006A2AE3"/>
    <w:rsid w:val="006B0EF5"/>
    <w:rsid w:val="006E0434"/>
    <w:rsid w:val="0070121C"/>
    <w:rsid w:val="00711421"/>
    <w:rsid w:val="007234A7"/>
    <w:rsid w:val="0075655A"/>
    <w:rsid w:val="00782760"/>
    <w:rsid w:val="007E0C1F"/>
    <w:rsid w:val="007F155E"/>
    <w:rsid w:val="00802F5C"/>
    <w:rsid w:val="008249E1"/>
    <w:rsid w:val="00864044"/>
    <w:rsid w:val="00864C6F"/>
    <w:rsid w:val="00872B51"/>
    <w:rsid w:val="008D15CD"/>
    <w:rsid w:val="008F2EB0"/>
    <w:rsid w:val="008F5556"/>
    <w:rsid w:val="00945AD0"/>
    <w:rsid w:val="00950A19"/>
    <w:rsid w:val="00960132"/>
    <w:rsid w:val="00960CE4"/>
    <w:rsid w:val="00965290"/>
    <w:rsid w:val="00993E09"/>
    <w:rsid w:val="009974FD"/>
    <w:rsid w:val="009B667E"/>
    <w:rsid w:val="009B76BF"/>
    <w:rsid w:val="009C379E"/>
    <w:rsid w:val="009D6048"/>
    <w:rsid w:val="009F0A4A"/>
    <w:rsid w:val="00A1080D"/>
    <w:rsid w:val="00A24E36"/>
    <w:rsid w:val="00A81D61"/>
    <w:rsid w:val="00A94C1E"/>
    <w:rsid w:val="00AE13B3"/>
    <w:rsid w:val="00AE2560"/>
    <w:rsid w:val="00AF3A87"/>
    <w:rsid w:val="00B706DA"/>
    <w:rsid w:val="00B83428"/>
    <w:rsid w:val="00B92FC0"/>
    <w:rsid w:val="00B95BD4"/>
    <w:rsid w:val="00BA7E59"/>
    <w:rsid w:val="00BB2542"/>
    <w:rsid w:val="00BC7BDC"/>
    <w:rsid w:val="00C23268"/>
    <w:rsid w:val="00C372E6"/>
    <w:rsid w:val="00C47A20"/>
    <w:rsid w:val="00C539EE"/>
    <w:rsid w:val="00C54039"/>
    <w:rsid w:val="00C64AB0"/>
    <w:rsid w:val="00C84C0B"/>
    <w:rsid w:val="00CA2337"/>
    <w:rsid w:val="00CF4800"/>
    <w:rsid w:val="00D00494"/>
    <w:rsid w:val="00D2417A"/>
    <w:rsid w:val="00D36D04"/>
    <w:rsid w:val="00D42294"/>
    <w:rsid w:val="00DB3C08"/>
    <w:rsid w:val="00E13CDA"/>
    <w:rsid w:val="00E13FC2"/>
    <w:rsid w:val="00E32ADF"/>
    <w:rsid w:val="00E73E5E"/>
    <w:rsid w:val="00E759F8"/>
    <w:rsid w:val="00E84AF5"/>
    <w:rsid w:val="00EB5353"/>
    <w:rsid w:val="00F128AE"/>
    <w:rsid w:val="00FA6A4C"/>
    <w:rsid w:val="00FB5B34"/>
    <w:rsid w:val="00FC2410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40CE"/>
  <w15:chartTrackingRefBased/>
  <w15:docId w15:val="{6E7A219F-A579-4EA2-91F5-C43FFD91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864C6F"/>
  </w:style>
  <w:style w:type="character" w:styleId="Textoennegrita">
    <w:name w:val="Strong"/>
    <w:basedOn w:val="Fuentedeprrafopredeter"/>
    <w:uiPriority w:val="22"/>
    <w:qFormat/>
    <w:rsid w:val="00261372"/>
    <w:rPr>
      <w:b/>
      <w:bCs/>
    </w:rPr>
  </w:style>
  <w:style w:type="paragraph" w:styleId="NormalWeb">
    <w:name w:val="Normal (Web)"/>
    <w:basedOn w:val="Normal"/>
    <w:uiPriority w:val="99"/>
    <w:unhideWhenUsed/>
    <w:rsid w:val="0048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Prrafodelista">
    <w:name w:val="List Paragraph"/>
    <w:basedOn w:val="Normal"/>
    <w:uiPriority w:val="34"/>
    <w:qFormat/>
    <w:rsid w:val="006E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1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Recoba</dc:creator>
  <cp:keywords/>
  <dc:description/>
  <cp:lastModifiedBy>Gabriela Recoba</cp:lastModifiedBy>
  <cp:revision>2</cp:revision>
  <dcterms:created xsi:type="dcterms:W3CDTF">2024-02-21T21:14:00Z</dcterms:created>
  <dcterms:modified xsi:type="dcterms:W3CDTF">2024-02-21T21:14:00Z</dcterms:modified>
</cp:coreProperties>
</file>